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建邺区</w:t>
      </w:r>
      <w:r>
        <w:rPr>
          <w:rFonts w:hint="default" w:ascii="Times New Roman" w:hAnsi="Times New Roman" w:eastAsia="方正小标宋_GBK" w:cs="Times New Roman"/>
          <w:sz w:val="44"/>
          <w:szCs w:val="44"/>
          <w:lang w:eastAsia="zh-CN"/>
        </w:rPr>
        <w:t>人民政府</w:t>
      </w:r>
      <w:r>
        <w:rPr>
          <w:rFonts w:hint="default" w:ascii="Times New Roman" w:hAnsi="Times New Roman" w:eastAsia="方正小标宋_GBK" w:cs="Times New Roman"/>
          <w:sz w:val="44"/>
          <w:szCs w:val="44"/>
        </w:rPr>
        <w:t>2019年度政府</w:t>
      </w:r>
    </w:p>
    <w:p>
      <w:pPr>
        <w:spacing w:line="560" w:lineRule="exact"/>
        <w:jc w:val="center"/>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rPr>
        <w:t>信息公开工作年报</w:t>
      </w:r>
    </w:p>
    <w:p>
      <w:pPr>
        <w:spacing w:line="560" w:lineRule="exact"/>
        <w:rPr>
          <w:rFonts w:hint="default" w:ascii="Times New Roman" w:hAnsi="Times New Roman" w:eastAsia="方正黑体_GBK" w:cs="Times New Roman"/>
          <w:bCs/>
          <w:sz w:val="32"/>
          <w:szCs w:val="32"/>
        </w:rPr>
      </w:pP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本年度报告根据《中华人民共和国政府信息公开条例》《国务院办公厅政府信息与政务公开办公室关于政府信息公开工作年度报告有关事项的通知》（国办公开办函〔2019〕60号）和省市有关要求，由</w:t>
      </w:r>
      <w:r>
        <w:rPr>
          <w:rFonts w:hint="default" w:ascii="Times New Roman" w:hAnsi="Times New Roman" w:eastAsia="方正仿宋_GBK" w:cs="Times New Roman"/>
          <w:sz w:val="32"/>
          <w:szCs w:val="32"/>
          <w:lang w:eastAsia="zh-CN"/>
        </w:rPr>
        <w:t>建邺</w:t>
      </w:r>
      <w:r>
        <w:rPr>
          <w:rFonts w:hint="default" w:ascii="Times New Roman" w:hAnsi="Times New Roman" w:eastAsia="方正仿宋_GBK" w:cs="Times New Roman"/>
          <w:sz w:val="32"/>
          <w:szCs w:val="32"/>
        </w:rPr>
        <w:t>区</w:t>
      </w:r>
      <w:r>
        <w:rPr>
          <w:rFonts w:hint="default" w:ascii="Times New Roman" w:hAnsi="Times New Roman" w:eastAsia="方正仿宋_GBK" w:cs="Times New Roman"/>
          <w:sz w:val="32"/>
          <w:szCs w:val="32"/>
          <w:lang w:eastAsia="zh-CN"/>
        </w:rPr>
        <w:t>人民</w:t>
      </w:r>
      <w:r>
        <w:rPr>
          <w:rFonts w:hint="default" w:ascii="Times New Roman" w:hAnsi="Times New Roman" w:eastAsia="方正仿宋_GBK" w:cs="Times New Roman"/>
          <w:sz w:val="32"/>
          <w:szCs w:val="32"/>
        </w:rPr>
        <w:t>政府办公室汇总编制。2019年</w:t>
      </w:r>
      <w:r>
        <w:rPr>
          <w:rFonts w:hint="default" w:ascii="Times New Roman" w:hAnsi="Times New Roman" w:eastAsia="方正仿宋_GBK" w:cs="Times New Roman"/>
          <w:sz w:val="32"/>
          <w:szCs w:val="32"/>
          <w:lang w:eastAsia="zh-CN"/>
        </w:rPr>
        <w:t>建邺区</w:t>
      </w:r>
      <w:r>
        <w:rPr>
          <w:rFonts w:hint="default" w:ascii="Times New Roman" w:hAnsi="Times New Roman" w:eastAsia="方正仿宋_GBK" w:cs="Times New Roman"/>
          <w:sz w:val="32"/>
          <w:szCs w:val="32"/>
        </w:rPr>
        <w:t>政府信息公开年报</w:t>
      </w:r>
      <w:r>
        <w:rPr>
          <w:rFonts w:hint="default" w:ascii="Times New Roman" w:hAnsi="Times New Roman" w:eastAsia="方正仿宋_GBK" w:cs="Times New Roman"/>
          <w:sz w:val="32"/>
          <w:szCs w:val="32"/>
          <w:lang w:eastAsia="zh-CN"/>
        </w:rPr>
        <w:t>由</w:t>
      </w:r>
      <w:r>
        <w:rPr>
          <w:rFonts w:hint="default" w:ascii="Times New Roman" w:hAnsi="Times New Roman" w:eastAsia="方正仿宋_GBK" w:cs="Times New Roman"/>
          <w:sz w:val="32"/>
          <w:szCs w:val="32"/>
        </w:rPr>
        <w:t>总体情况、主动公开政府信息情况、收到和处理政府信息公开申请情况、政府信息公开行政复议和行政诉讼情况、存在的问题和改进情况</w:t>
      </w:r>
      <w:r>
        <w:rPr>
          <w:rFonts w:hint="default" w:ascii="Times New Roman" w:hAnsi="Times New Roman" w:eastAsia="方正仿宋_GBK" w:cs="Times New Roman"/>
          <w:sz w:val="32"/>
          <w:szCs w:val="32"/>
          <w:lang w:eastAsia="zh-CN"/>
        </w:rPr>
        <w:t>五部分构成</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kern w:val="32"/>
          <w:sz w:val="32"/>
          <w:szCs w:val="32"/>
        </w:rPr>
        <w:t>本年度报告中所列数据的统计期限从201</w:t>
      </w:r>
      <w:r>
        <w:rPr>
          <w:rFonts w:hint="eastAsia" w:eastAsia="方正仿宋_GBK" w:cs="Times New Roman"/>
          <w:kern w:val="32"/>
          <w:sz w:val="32"/>
          <w:szCs w:val="32"/>
          <w:lang w:val="en-US" w:eastAsia="zh-CN"/>
        </w:rPr>
        <w:t>9</w:t>
      </w:r>
      <w:r>
        <w:rPr>
          <w:rFonts w:hint="eastAsia" w:ascii="Times New Roman" w:hAnsi="Times New Roman" w:eastAsia="方正仿宋_GBK" w:cs="Times New Roman"/>
          <w:kern w:val="32"/>
          <w:sz w:val="32"/>
          <w:szCs w:val="32"/>
        </w:rPr>
        <w:t>年1月1日到201</w:t>
      </w:r>
      <w:r>
        <w:rPr>
          <w:rFonts w:hint="eastAsia" w:eastAsia="方正仿宋_GBK" w:cs="Times New Roman"/>
          <w:kern w:val="32"/>
          <w:sz w:val="32"/>
          <w:szCs w:val="32"/>
          <w:lang w:val="en-US" w:eastAsia="zh-CN"/>
        </w:rPr>
        <w:t>9</w:t>
      </w:r>
      <w:r>
        <w:rPr>
          <w:rFonts w:hint="eastAsia" w:ascii="Times New Roman" w:hAnsi="Times New Roman" w:eastAsia="方正仿宋_GBK" w:cs="Times New Roman"/>
          <w:kern w:val="32"/>
          <w:sz w:val="32"/>
          <w:szCs w:val="32"/>
        </w:rPr>
        <w:t>年12月31日止。</w:t>
      </w:r>
    </w:p>
    <w:p>
      <w:p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黑体_GBK" w:cs="Times New Roman"/>
          <w:bCs/>
          <w:sz w:val="32"/>
          <w:szCs w:val="32"/>
        </w:rPr>
        <w:t>一、总体情况</w:t>
      </w:r>
    </w:p>
    <w:p>
      <w:pPr>
        <w:spacing w:line="560" w:lineRule="exact"/>
        <w:ind w:firstLine="640" w:firstLineChars="200"/>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2019年，</w:t>
      </w:r>
      <w:r>
        <w:rPr>
          <w:rFonts w:hint="eastAsia" w:eastAsia="方正仿宋_GBK" w:cs="Times New Roman"/>
          <w:sz w:val="32"/>
          <w:szCs w:val="32"/>
          <w:lang w:eastAsia="zh-CN"/>
        </w:rPr>
        <w:t>建邺</w:t>
      </w:r>
      <w:r>
        <w:rPr>
          <w:rFonts w:hint="default" w:ascii="Times New Roman" w:hAnsi="Times New Roman" w:eastAsia="方正仿宋_GBK" w:cs="Times New Roman"/>
          <w:sz w:val="32"/>
          <w:szCs w:val="32"/>
          <w:lang w:eastAsia="zh-CN"/>
        </w:rPr>
        <w:t>区坚持以习近平新时代中国特色社会主义思想为指导，全面贯彻落实</w:t>
      </w:r>
      <w:r>
        <w:rPr>
          <w:rFonts w:hint="eastAsia" w:eastAsia="方正仿宋_GBK" w:cs="Times New Roman"/>
          <w:sz w:val="32"/>
          <w:szCs w:val="32"/>
          <w:lang w:eastAsia="zh-CN"/>
        </w:rPr>
        <w:t>党</w:t>
      </w:r>
      <w:r>
        <w:rPr>
          <w:rFonts w:hint="default" w:ascii="Times New Roman" w:hAnsi="Times New Roman" w:eastAsia="方正仿宋_GBK" w:cs="Times New Roman"/>
          <w:sz w:val="32"/>
          <w:szCs w:val="32"/>
          <w:lang w:eastAsia="zh-CN"/>
        </w:rPr>
        <w:t>中央</w:t>
      </w:r>
      <w:r>
        <w:rPr>
          <w:rFonts w:hint="eastAsia" w:eastAsia="方正仿宋_GBK" w:cs="Times New Roman"/>
          <w:sz w:val="32"/>
          <w:szCs w:val="32"/>
          <w:lang w:eastAsia="zh-CN"/>
        </w:rPr>
        <w:t>、国务院</w:t>
      </w:r>
      <w:r>
        <w:rPr>
          <w:rFonts w:hint="default" w:ascii="Times New Roman" w:hAnsi="Times New Roman" w:eastAsia="方正仿宋_GBK" w:cs="Times New Roman"/>
          <w:sz w:val="32"/>
          <w:szCs w:val="32"/>
          <w:lang w:eastAsia="zh-CN"/>
        </w:rPr>
        <w:t>和省、市关于</w:t>
      </w:r>
      <w:r>
        <w:rPr>
          <w:rFonts w:hint="eastAsia" w:eastAsia="方正仿宋_GBK" w:cs="Times New Roman"/>
          <w:sz w:val="32"/>
          <w:szCs w:val="32"/>
          <w:lang w:eastAsia="zh-CN"/>
        </w:rPr>
        <w:t>全面</w:t>
      </w:r>
      <w:r>
        <w:rPr>
          <w:rFonts w:hint="default" w:ascii="Times New Roman" w:hAnsi="Times New Roman" w:eastAsia="方正仿宋_GBK" w:cs="Times New Roman"/>
          <w:sz w:val="32"/>
          <w:szCs w:val="32"/>
          <w:lang w:eastAsia="zh-CN"/>
        </w:rPr>
        <w:t>推进</w:t>
      </w:r>
      <w:r>
        <w:rPr>
          <w:rFonts w:hint="eastAsia" w:eastAsia="方正仿宋_GBK" w:cs="Times New Roman"/>
          <w:sz w:val="32"/>
          <w:szCs w:val="32"/>
          <w:lang w:eastAsia="zh-CN"/>
        </w:rPr>
        <w:t>政务公开工作的部署要求及基层政务公开标准化、规范化试点工作经验</w:t>
      </w:r>
      <w:r>
        <w:rPr>
          <w:rFonts w:hint="default" w:ascii="Times New Roman" w:hAnsi="Times New Roman" w:eastAsia="方正仿宋_GBK" w:cs="Times New Roman"/>
          <w:sz w:val="32"/>
          <w:szCs w:val="32"/>
          <w:lang w:eastAsia="zh-CN"/>
        </w:rPr>
        <w:t>，坚持“以公开为常态，不公开为例外”，紧紧围绕区委、区政府中心工作，以区政府门户网站为主要平台，不断拓展信息公开领域和渠道，推进决策公开、执行公开、管理公开、服务公开、结果公开，促进政府权力运行的公开透明，保障群众知情权、参与权、表达权和监督权。</w:t>
      </w:r>
    </w:p>
    <w:p>
      <w:pPr>
        <w:keepNext w:val="0"/>
        <w:keepLines w:val="0"/>
        <w:pageBreakBefore w:val="0"/>
        <w:widowControl w:val="0"/>
        <w:numPr>
          <w:ilvl w:val="0"/>
          <w:numId w:val="1"/>
        </w:numPr>
        <w:kinsoku/>
        <w:wordWrap/>
        <w:overflowPunct/>
        <w:topLinePunct w:val="0"/>
        <w:autoSpaceDE/>
        <w:autoSpaceDN/>
        <w:bidi w:val="0"/>
        <w:spacing w:line="560" w:lineRule="exact"/>
        <w:ind w:firstLine="640" w:firstLineChars="200"/>
        <w:textAlignment w:val="auto"/>
        <w:rPr>
          <w:rFonts w:hint="default" w:ascii="Times New Roman" w:hAnsi="Times New Roman" w:eastAsia="方正楷体_GBK" w:cs="Times New Roman"/>
          <w:sz w:val="32"/>
          <w:szCs w:val="32"/>
        </w:rPr>
      </w:pPr>
      <w:r>
        <w:rPr>
          <w:rFonts w:hint="default" w:ascii="Times New Roman" w:hAnsi="Times New Roman" w:eastAsia="方正楷体_GBK" w:cs="Times New Roman"/>
          <w:sz w:val="32"/>
          <w:szCs w:val="32"/>
        </w:rPr>
        <w:t>主动公开情况</w:t>
      </w:r>
    </w:p>
    <w:p>
      <w:pPr>
        <w:numPr>
          <w:ilvl w:val="0"/>
          <w:numId w:val="2"/>
        </w:numPr>
        <w:spacing w:line="560" w:lineRule="exact"/>
        <w:ind w:left="760" w:leftChars="0" w:firstLine="0" w:firstLineChars="0"/>
        <w:rPr>
          <w:rFonts w:ascii="Times New Roman" w:hAnsi="Times New Roman" w:eastAsia="方正仿宋_GBK" w:cs="Times New Roman"/>
          <w:kern w:val="32"/>
          <w:sz w:val="32"/>
          <w:szCs w:val="32"/>
        </w:rPr>
      </w:pPr>
      <w:r>
        <w:rPr>
          <w:rFonts w:hint="eastAsia" w:ascii="方正仿宋_GBK" w:hAnsi="方正仿宋_GBK" w:eastAsia="方正仿宋_GBK" w:cs="方正仿宋_GBK"/>
          <w:b/>
          <w:bCs/>
          <w:kern w:val="32"/>
          <w:sz w:val="32"/>
          <w:szCs w:val="32"/>
        </w:rPr>
        <w:t>在公开数量方面</w:t>
      </w:r>
      <w:r>
        <w:rPr>
          <w:rFonts w:hint="eastAsia" w:ascii="方正仿宋_GBK" w:hAnsi="方正仿宋_GBK" w:eastAsia="方正仿宋_GBK" w:cs="方正仿宋_GBK"/>
          <w:b/>
          <w:bCs/>
          <w:kern w:val="32"/>
          <w:sz w:val="32"/>
          <w:szCs w:val="32"/>
          <w:lang w:eastAsia="zh-CN"/>
        </w:rPr>
        <w:t>。</w:t>
      </w:r>
      <w:r>
        <w:rPr>
          <w:rFonts w:ascii="Times New Roman" w:hAnsi="Times New Roman" w:eastAsia="方正仿宋_GBK" w:cs="Times New Roman"/>
          <w:kern w:val="32"/>
          <w:sz w:val="32"/>
          <w:szCs w:val="32"/>
        </w:rPr>
        <w:t>201</w:t>
      </w:r>
      <w:r>
        <w:rPr>
          <w:rFonts w:hint="eastAsia" w:eastAsia="方正仿宋_GBK" w:cs="Times New Roman"/>
          <w:kern w:val="32"/>
          <w:sz w:val="32"/>
          <w:szCs w:val="32"/>
          <w:lang w:val="en-US" w:eastAsia="zh-CN"/>
        </w:rPr>
        <w:t>9</w:t>
      </w:r>
      <w:r>
        <w:rPr>
          <w:rFonts w:ascii="Times New Roman" w:hAnsi="Times New Roman" w:eastAsia="方正仿宋_GBK" w:cs="Times New Roman"/>
          <w:kern w:val="32"/>
          <w:sz w:val="32"/>
          <w:szCs w:val="32"/>
        </w:rPr>
        <w:t>年，我区通过“</w:t>
      </w:r>
      <w:r>
        <w:rPr>
          <w:rFonts w:hint="eastAsia" w:ascii="Times New Roman" w:hAnsi="Times New Roman" w:eastAsia="方正仿宋_GBK" w:cs="Times New Roman"/>
          <w:kern w:val="32"/>
          <w:sz w:val="32"/>
          <w:szCs w:val="32"/>
        </w:rPr>
        <w:t>南京市建邺区人</w:t>
      </w:r>
    </w:p>
    <w:p>
      <w:pPr>
        <w:numPr>
          <w:ilvl w:val="0"/>
          <w:numId w:val="0"/>
        </w:numPr>
        <w:spacing w:line="560" w:lineRule="exact"/>
        <w:rPr>
          <w:rFonts w:ascii="Times New Roman" w:hAnsi="Times New Roman" w:eastAsia="方正仿宋_GBK" w:cs="Times New Roman"/>
          <w:kern w:val="32"/>
          <w:sz w:val="32"/>
          <w:szCs w:val="32"/>
        </w:rPr>
      </w:pPr>
      <w:r>
        <w:rPr>
          <w:rFonts w:hint="eastAsia" w:ascii="Times New Roman" w:hAnsi="Times New Roman" w:eastAsia="方正仿宋_GBK" w:cs="Times New Roman"/>
          <w:kern w:val="32"/>
          <w:sz w:val="32"/>
          <w:szCs w:val="32"/>
        </w:rPr>
        <w:t>民政府</w:t>
      </w:r>
      <w:r>
        <w:rPr>
          <w:rFonts w:ascii="Times New Roman" w:hAnsi="Times New Roman" w:eastAsia="方正仿宋_GBK" w:cs="Times New Roman"/>
          <w:kern w:val="32"/>
          <w:sz w:val="32"/>
          <w:szCs w:val="32"/>
        </w:rPr>
        <w:t>”网站政府信息公开目录主动公开各类信息</w:t>
      </w:r>
      <w:r>
        <w:rPr>
          <w:rFonts w:hint="eastAsia" w:eastAsia="方正仿宋_GBK" w:cs="Times New Roman"/>
          <w:kern w:val="32"/>
          <w:sz w:val="32"/>
          <w:szCs w:val="32"/>
          <w:lang w:val="en-US" w:eastAsia="zh-CN"/>
        </w:rPr>
        <w:t>3723</w:t>
      </w:r>
      <w:r>
        <w:rPr>
          <w:rFonts w:ascii="Times New Roman" w:hAnsi="Times New Roman" w:eastAsia="方正仿宋_GBK" w:cs="Times New Roman"/>
          <w:kern w:val="32"/>
          <w:sz w:val="32"/>
          <w:szCs w:val="32"/>
        </w:rPr>
        <w:t>条，公开信息包括</w:t>
      </w:r>
      <w:r>
        <w:rPr>
          <w:rFonts w:hint="eastAsia" w:eastAsia="方正仿宋_GBK" w:cs="Times New Roman"/>
          <w:kern w:val="32"/>
          <w:sz w:val="32"/>
          <w:szCs w:val="32"/>
          <w:lang w:eastAsia="zh-CN"/>
        </w:rPr>
        <w:t>政府</w:t>
      </w:r>
      <w:r>
        <w:rPr>
          <w:rFonts w:ascii="Times New Roman" w:hAnsi="Times New Roman" w:eastAsia="方正仿宋_GBK" w:cs="Times New Roman"/>
          <w:kern w:val="32"/>
          <w:sz w:val="32"/>
          <w:szCs w:val="32"/>
        </w:rPr>
        <w:t>文件、政府</w:t>
      </w:r>
      <w:r>
        <w:rPr>
          <w:rFonts w:hint="eastAsia" w:eastAsia="方正仿宋_GBK" w:cs="Times New Roman"/>
          <w:kern w:val="32"/>
          <w:sz w:val="32"/>
          <w:szCs w:val="32"/>
          <w:lang w:eastAsia="zh-CN"/>
        </w:rPr>
        <w:t>工作</w:t>
      </w:r>
      <w:r>
        <w:rPr>
          <w:rFonts w:ascii="Times New Roman" w:hAnsi="Times New Roman" w:eastAsia="方正仿宋_GBK" w:cs="Times New Roman"/>
          <w:kern w:val="32"/>
          <w:sz w:val="32"/>
          <w:szCs w:val="32"/>
        </w:rPr>
        <w:t>报告、公示公告、应急管理、财政</w:t>
      </w:r>
      <w:r>
        <w:rPr>
          <w:rFonts w:hint="eastAsia" w:eastAsia="方正仿宋_GBK" w:cs="Times New Roman"/>
          <w:kern w:val="32"/>
          <w:sz w:val="32"/>
          <w:szCs w:val="32"/>
          <w:lang w:eastAsia="zh-CN"/>
        </w:rPr>
        <w:t>信息</w:t>
      </w:r>
      <w:r>
        <w:rPr>
          <w:rFonts w:ascii="Times New Roman" w:hAnsi="Times New Roman" w:eastAsia="方正仿宋_GBK" w:cs="Times New Roman"/>
          <w:kern w:val="32"/>
          <w:sz w:val="32"/>
          <w:szCs w:val="32"/>
        </w:rPr>
        <w:t>、人事信息、</w:t>
      </w:r>
      <w:r>
        <w:rPr>
          <w:rFonts w:hint="eastAsia" w:eastAsia="方正仿宋_GBK" w:cs="Times New Roman"/>
          <w:kern w:val="32"/>
          <w:sz w:val="32"/>
          <w:szCs w:val="32"/>
          <w:lang w:eastAsia="zh-CN"/>
        </w:rPr>
        <w:t>市场监管、医疗卫生</w:t>
      </w:r>
      <w:r>
        <w:rPr>
          <w:rFonts w:ascii="Times New Roman" w:hAnsi="Times New Roman" w:eastAsia="方正仿宋_GBK" w:cs="Times New Roman"/>
          <w:kern w:val="32"/>
          <w:sz w:val="32"/>
          <w:szCs w:val="32"/>
        </w:rPr>
        <w:t>等方面</w:t>
      </w:r>
      <w:r>
        <w:rPr>
          <w:rFonts w:hint="eastAsia" w:eastAsia="方正仿宋_GBK" w:cs="Times New Roman"/>
          <w:kern w:val="32"/>
          <w:sz w:val="32"/>
          <w:szCs w:val="32"/>
          <w:lang w:eastAsia="zh-CN"/>
        </w:rPr>
        <w:t>，其中，</w:t>
      </w:r>
      <w:r>
        <w:rPr>
          <w:rFonts w:hint="eastAsia" w:ascii="Times New Roman" w:hAnsi="Times New Roman" w:eastAsia="方正仿宋_GBK" w:cs="Times New Roman"/>
          <w:kern w:val="32"/>
          <w:sz w:val="32"/>
          <w:szCs w:val="32"/>
        </w:rPr>
        <w:t>《建邺区政府投资建设项目审计监督办法》</w:t>
      </w:r>
      <w:r>
        <w:rPr>
          <w:rFonts w:hint="eastAsia" w:eastAsia="方正仿宋_GBK" w:cs="Times New Roman"/>
          <w:kern w:val="32"/>
          <w:sz w:val="32"/>
          <w:szCs w:val="32"/>
          <w:lang w:eastAsia="zh-CN"/>
        </w:rPr>
        <w:t>《建邺区全面推行行政执法公示制度执法全过程记录制度重大执法决定法制审核制度实施方案》等文件同步制发政策</w:t>
      </w:r>
      <w:r>
        <w:rPr>
          <w:rFonts w:hint="eastAsia" w:ascii="Times New Roman" w:hAnsi="Times New Roman" w:eastAsia="方正仿宋_GBK" w:cs="Times New Roman"/>
          <w:kern w:val="32"/>
          <w:sz w:val="32"/>
          <w:szCs w:val="32"/>
        </w:rPr>
        <w:t>解读</w:t>
      </w:r>
      <w:r>
        <w:rPr>
          <w:rFonts w:hint="eastAsia" w:eastAsia="方正仿宋_GBK" w:cs="Times New Roman"/>
          <w:kern w:val="32"/>
          <w:sz w:val="32"/>
          <w:szCs w:val="32"/>
          <w:lang w:eastAsia="zh-CN"/>
        </w:rPr>
        <w:t>，取得较好成效；通过“</w:t>
      </w:r>
      <w:r>
        <w:rPr>
          <w:rFonts w:ascii="Times New Roman" w:hAnsi="Times New Roman" w:eastAsia="方正仿宋_GBK" w:cs="Times New Roman"/>
          <w:kern w:val="32"/>
          <w:sz w:val="32"/>
          <w:szCs w:val="32"/>
        </w:rPr>
        <w:t>建邺播报</w:t>
      </w:r>
      <w:r>
        <w:rPr>
          <w:rFonts w:hint="eastAsia" w:eastAsia="方正仿宋_GBK" w:cs="Times New Roman"/>
          <w:kern w:val="32"/>
          <w:sz w:val="32"/>
          <w:szCs w:val="32"/>
          <w:lang w:eastAsia="zh-CN"/>
        </w:rPr>
        <w:t>”</w:t>
      </w:r>
      <w:r>
        <w:rPr>
          <w:rFonts w:ascii="Times New Roman" w:hAnsi="Times New Roman" w:eastAsia="方正仿宋_GBK" w:cs="Times New Roman"/>
          <w:kern w:val="32"/>
          <w:sz w:val="32"/>
          <w:szCs w:val="32"/>
        </w:rPr>
        <w:t>微博</w:t>
      </w:r>
      <w:r>
        <w:rPr>
          <w:rFonts w:hint="eastAsia" w:ascii="Times New Roman" w:hAnsi="Times New Roman" w:eastAsia="方正仿宋_GBK" w:cs="Times New Roman"/>
          <w:kern w:val="32"/>
          <w:sz w:val="32"/>
          <w:szCs w:val="32"/>
        </w:rPr>
        <w:t>、</w:t>
      </w:r>
      <w:r>
        <w:rPr>
          <w:rFonts w:ascii="Times New Roman" w:hAnsi="Times New Roman" w:eastAsia="方正仿宋_GBK" w:cs="Times New Roman"/>
          <w:kern w:val="32"/>
          <w:sz w:val="32"/>
          <w:szCs w:val="32"/>
        </w:rPr>
        <w:t>微信平台共公告公示各类信息</w:t>
      </w:r>
      <w:r>
        <w:rPr>
          <w:rFonts w:hint="eastAsia" w:eastAsia="方正仿宋_GBK" w:cs="Times New Roman"/>
          <w:kern w:val="32"/>
          <w:sz w:val="32"/>
          <w:szCs w:val="32"/>
          <w:lang w:val="en-US" w:eastAsia="zh-CN"/>
        </w:rPr>
        <w:t>12200</w:t>
      </w:r>
      <w:r>
        <w:rPr>
          <w:rFonts w:ascii="Times New Roman" w:hAnsi="Times New Roman" w:eastAsia="方正仿宋_GBK" w:cs="Times New Roman"/>
          <w:kern w:val="32"/>
          <w:sz w:val="32"/>
          <w:szCs w:val="32"/>
        </w:rPr>
        <w:t>余条</w:t>
      </w:r>
      <w:r>
        <w:rPr>
          <w:rFonts w:hint="eastAsia" w:ascii="Times New Roman" w:hAnsi="Times New Roman" w:eastAsia="方正仿宋_GBK" w:cs="Times New Roman"/>
          <w:kern w:val="32"/>
          <w:sz w:val="32"/>
          <w:szCs w:val="32"/>
        </w:rPr>
        <w:t>；</w:t>
      </w:r>
      <w:r>
        <w:rPr>
          <w:rFonts w:hint="eastAsia" w:eastAsia="方正仿宋_GBK" w:cs="Times New Roman"/>
          <w:kern w:val="32"/>
          <w:sz w:val="32"/>
          <w:szCs w:val="32"/>
          <w:lang w:eastAsia="zh-CN"/>
        </w:rPr>
        <w:t>通过</w:t>
      </w:r>
      <w:r>
        <w:rPr>
          <w:rFonts w:hint="eastAsia" w:ascii="Times New Roman" w:hAnsi="Times New Roman" w:eastAsia="方正仿宋_GBK" w:cs="Times New Roman"/>
          <w:kern w:val="32"/>
          <w:sz w:val="32"/>
          <w:szCs w:val="32"/>
        </w:rPr>
        <w:t>“南京市建邺区人民政府”政府门户网站</w:t>
      </w:r>
      <w:r>
        <w:rPr>
          <w:rFonts w:ascii="Times New Roman" w:hAnsi="Times New Roman" w:eastAsia="方正仿宋_GBK" w:cs="Times New Roman"/>
          <w:kern w:val="32"/>
          <w:sz w:val="32"/>
          <w:szCs w:val="32"/>
        </w:rPr>
        <w:t>发</w:t>
      </w:r>
      <w:bookmarkStart w:id="0" w:name="_GoBack"/>
      <w:bookmarkEnd w:id="0"/>
      <w:r>
        <w:rPr>
          <w:rFonts w:ascii="Times New Roman" w:hAnsi="Times New Roman" w:eastAsia="方正仿宋_GBK" w:cs="Times New Roman"/>
          <w:kern w:val="32"/>
          <w:sz w:val="32"/>
          <w:szCs w:val="32"/>
        </w:rPr>
        <w:t>布</w:t>
      </w:r>
      <w:r>
        <w:rPr>
          <w:rFonts w:hint="eastAsia" w:ascii="Times New Roman" w:hAnsi="Times New Roman" w:eastAsia="方正仿宋_GBK" w:cs="Times New Roman"/>
          <w:kern w:val="32"/>
          <w:sz w:val="32"/>
          <w:szCs w:val="32"/>
        </w:rPr>
        <w:t>工作</w:t>
      </w:r>
      <w:r>
        <w:rPr>
          <w:rFonts w:ascii="Times New Roman" w:hAnsi="Times New Roman" w:eastAsia="方正仿宋_GBK" w:cs="Times New Roman"/>
          <w:kern w:val="32"/>
          <w:sz w:val="32"/>
          <w:szCs w:val="32"/>
        </w:rPr>
        <w:t>动态信息</w:t>
      </w:r>
      <w:r>
        <w:rPr>
          <w:rFonts w:hint="eastAsia" w:eastAsia="方正仿宋_GBK" w:cs="Times New Roman"/>
          <w:kern w:val="32"/>
          <w:sz w:val="32"/>
          <w:szCs w:val="32"/>
          <w:lang w:val="en-US" w:eastAsia="zh-CN"/>
        </w:rPr>
        <w:t>598</w:t>
      </w:r>
      <w:r>
        <w:rPr>
          <w:rFonts w:ascii="Times New Roman" w:hAnsi="Times New Roman" w:eastAsia="方正仿宋_GBK" w:cs="Times New Roman"/>
          <w:kern w:val="32"/>
          <w:sz w:val="32"/>
          <w:szCs w:val="32"/>
        </w:rPr>
        <w:t>条。</w:t>
      </w:r>
    </w:p>
    <w:p>
      <w:pPr>
        <w:numPr>
          <w:ilvl w:val="0"/>
          <w:numId w:val="2"/>
        </w:numPr>
        <w:spacing w:line="560" w:lineRule="exact"/>
        <w:ind w:left="760" w:leftChars="0" w:firstLine="0" w:firstLineChars="0"/>
        <w:rPr>
          <w:rFonts w:ascii="Times New Roman" w:hAnsi="Times New Roman" w:eastAsia="方正仿宋_GBK" w:cs="Times New Roman"/>
          <w:kern w:val="32"/>
          <w:sz w:val="32"/>
          <w:szCs w:val="32"/>
        </w:rPr>
      </w:pPr>
      <w:r>
        <w:rPr>
          <w:rFonts w:hint="eastAsia" w:ascii="方正仿宋_GBK" w:hAnsi="方正仿宋_GBK" w:eastAsia="方正仿宋_GBK" w:cs="方正仿宋_GBK"/>
          <w:b/>
          <w:bCs/>
          <w:kern w:val="32"/>
          <w:sz w:val="32"/>
          <w:szCs w:val="32"/>
        </w:rPr>
        <w:t>在公开质量方面</w:t>
      </w:r>
      <w:r>
        <w:rPr>
          <w:rFonts w:hint="eastAsia" w:ascii="方正仿宋_GBK" w:hAnsi="方正仿宋_GBK" w:eastAsia="方正仿宋_GBK" w:cs="方正仿宋_GBK"/>
          <w:b/>
          <w:bCs/>
          <w:kern w:val="32"/>
          <w:sz w:val="32"/>
          <w:szCs w:val="32"/>
          <w:lang w:eastAsia="zh-CN"/>
        </w:rPr>
        <w:t>。</w:t>
      </w:r>
      <w:r>
        <w:rPr>
          <w:rFonts w:ascii="Times New Roman" w:hAnsi="Times New Roman" w:eastAsia="方正仿宋_GBK" w:cs="Times New Roman"/>
          <w:b/>
          <w:kern w:val="32"/>
          <w:sz w:val="32"/>
          <w:szCs w:val="32"/>
        </w:rPr>
        <w:t>一是</w:t>
      </w:r>
      <w:r>
        <w:rPr>
          <w:rFonts w:ascii="Times New Roman" w:hAnsi="Times New Roman" w:eastAsia="方正仿宋_GBK" w:cs="Times New Roman"/>
          <w:kern w:val="32"/>
          <w:sz w:val="32"/>
          <w:szCs w:val="32"/>
        </w:rPr>
        <w:t>突出及时性，明确要求各部门在</w:t>
      </w:r>
    </w:p>
    <w:p>
      <w:pPr>
        <w:numPr>
          <w:ilvl w:val="0"/>
          <w:numId w:val="0"/>
        </w:numPr>
        <w:spacing w:line="560" w:lineRule="exact"/>
        <w:rPr>
          <w:rFonts w:hint="eastAsia" w:ascii="Times New Roman" w:hAnsi="Times New Roman" w:eastAsia="方正仿宋_GBK" w:cs="Times New Roman"/>
          <w:kern w:val="32"/>
          <w:sz w:val="32"/>
          <w:szCs w:val="32"/>
          <w:lang w:val="en-US" w:eastAsia="zh-CN"/>
        </w:rPr>
      </w:pPr>
      <w:r>
        <w:rPr>
          <w:rFonts w:ascii="Times New Roman" w:hAnsi="Times New Roman" w:eastAsia="方正仿宋_GBK" w:cs="Times New Roman"/>
          <w:kern w:val="32"/>
          <w:sz w:val="32"/>
          <w:szCs w:val="32"/>
        </w:rPr>
        <w:t>信息形成或变更之日起</w:t>
      </w:r>
      <w:r>
        <w:rPr>
          <w:rFonts w:hint="eastAsia" w:eastAsia="方正仿宋_GBK" w:cs="Times New Roman"/>
          <w:kern w:val="32"/>
          <w:sz w:val="32"/>
          <w:szCs w:val="32"/>
          <w:lang w:val="en-US" w:eastAsia="zh-CN"/>
        </w:rPr>
        <w:t>1</w:t>
      </w:r>
      <w:r>
        <w:rPr>
          <w:rFonts w:ascii="Times New Roman" w:hAnsi="Times New Roman" w:eastAsia="方正仿宋_GBK" w:cs="Times New Roman"/>
          <w:kern w:val="32"/>
          <w:sz w:val="32"/>
          <w:szCs w:val="32"/>
        </w:rPr>
        <w:t>0个工作日内发布或更新；</w:t>
      </w:r>
      <w:r>
        <w:rPr>
          <w:rFonts w:hint="eastAsia" w:eastAsia="方正仿宋_GBK" w:cs="Times New Roman"/>
          <w:kern w:val="32"/>
          <w:sz w:val="32"/>
          <w:szCs w:val="32"/>
          <w:lang w:eastAsia="zh-CN"/>
        </w:rPr>
        <w:t>及时、主动回应社会关切，通过网站、微博等渠道向社会公众发布莫愁湖公园延期开放及南京乐伽房屋租赁纠纷等社会关切事件的官方通告，保障人民群众知情权；</w:t>
      </w:r>
      <w:r>
        <w:rPr>
          <w:rFonts w:ascii="Times New Roman" w:hAnsi="Times New Roman" w:eastAsia="方正仿宋_GBK" w:cs="Times New Roman"/>
          <w:b/>
          <w:kern w:val="32"/>
          <w:sz w:val="32"/>
          <w:szCs w:val="32"/>
        </w:rPr>
        <w:t>二是</w:t>
      </w:r>
      <w:r>
        <w:rPr>
          <w:rFonts w:ascii="Times New Roman" w:hAnsi="Times New Roman" w:eastAsia="方正仿宋_GBK" w:cs="Times New Roman"/>
          <w:kern w:val="32"/>
          <w:sz w:val="32"/>
          <w:szCs w:val="32"/>
        </w:rPr>
        <w:t>突出准确性，各部门发布信息严格按照“</w:t>
      </w:r>
      <w:r>
        <w:rPr>
          <w:rFonts w:hint="eastAsia" w:ascii="Times New Roman" w:hAnsi="Times New Roman" w:eastAsia="方正仿宋_GBK" w:cs="Times New Roman"/>
          <w:kern w:val="32"/>
          <w:sz w:val="32"/>
          <w:szCs w:val="32"/>
        </w:rPr>
        <w:t>谁主管</w:t>
      </w:r>
      <w:r>
        <w:rPr>
          <w:rFonts w:ascii="Times New Roman" w:hAnsi="Times New Roman" w:eastAsia="方正仿宋_GBK" w:cs="Times New Roman"/>
          <w:kern w:val="32"/>
          <w:sz w:val="32"/>
          <w:szCs w:val="32"/>
        </w:rPr>
        <w:t>谁负责、谁发布谁负责”</w:t>
      </w:r>
      <w:r>
        <w:rPr>
          <w:rFonts w:hint="eastAsia" w:eastAsia="方正仿宋_GBK" w:cs="Times New Roman"/>
          <w:kern w:val="32"/>
          <w:sz w:val="32"/>
          <w:szCs w:val="32"/>
          <w:lang w:eastAsia="zh-CN"/>
        </w:rPr>
        <w:t>、“三审三发”</w:t>
      </w:r>
      <w:r>
        <w:rPr>
          <w:rFonts w:ascii="Times New Roman" w:hAnsi="Times New Roman" w:eastAsia="方正仿宋_GBK" w:cs="Times New Roman"/>
          <w:kern w:val="32"/>
          <w:sz w:val="32"/>
          <w:szCs w:val="32"/>
        </w:rPr>
        <w:t>的原则予以审核把关；</w:t>
      </w:r>
      <w:r>
        <w:rPr>
          <w:rFonts w:ascii="Times New Roman" w:hAnsi="Times New Roman" w:eastAsia="方正仿宋_GBK" w:cs="Times New Roman"/>
          <w:b/>
          <w:kern w:val="32"/>
          <w:sz w:val="32"/>
          <w:szCs w:val="32"/>
        </w:rPr>
        <w:t>三是</w:t>
      </w:r>
      <w:r>
        <w:rPr>
          <w:rFonts w:ascii="Times New Roman" w:hAnsi="Times New Roman" w:eastAsia="方正仿宋_GBK" w:cs="Times New Roman"/>
          <w:kern w:val="32"/>
          <w:sz w:val="32"/>
          <w:szCs w:val="32"/>
        </w:rPr>
        <w:t>突出规范性，通过业务培训、上</w:t>
      </w:r>
      <w:r>
        <w:rPr>
          <w:rFonts w:hint="eastAsia" w:ascii="Times New Roman" w:hAnsi="Times New Roman" w:eastAsia="方正仿宋_GBK" w:cs="Times New Roman"/>
          <w:kern w:val="32"/>
          <w:sz w:val="32"/>
          <w:szCs w:val="32"/>
        </w:rPr>
        <w:t>门</w:t>
      </w:r>
      <w:r>
        <w:rPr>
          <w:rFonts w:ascii="Times New Roman" w:hAnsi="Times New Roman" w:eastAsia="方正仿宋_GBK" w:cs="Times New Roman"/>
          <w:kern w:val="32"/>
          <w:sz w:val="32"/>
          <w:szCs w:val="32"/>
        </w:rPr>
        <w:t>辅导等方式，对各部门</w:t>
      </w:r>
      <w:r>
        <w:rPr>
          <w:rFonts w:hint="eastAsia" w:ascii="Times New Roman" w:hAnsi="Times New Roman" w:eastAsia="方正仿宋_GBK" w:cs="Times New Roman"/>
          <w:kern w:val="32"/>
          <w:sz w:val="32"/>
          <w:szCs w:val="32"/>
        </w:rPr>
        <w:t>政务公开工作人员</w:t>
      </w:r>
      <w:r>
        <w:rPr>
          <w:rFonts w:ascii="Times New Roman" w:hAnsi="Times New Roman" w:eastAsia="方正仿宋_GBK" w:cs="Times New Roman"/>
          <w:kern w:val="32"/>
          <w:sz w:val="32"/>
          <w:szCs w:val="32"/>
        </w:rPr>
        <w:t>进行</w:t>
      </w:r>
      <w:r>
        <w:rPr>
          <w:rFonts w:hint="eastAsia" w:ascii="Times New Roman" w:hAnsi="Times New Roman" w:eastAsia="方正仿宋_GBK" w:cs="Times New Roman"/>
          <w:kern w:val="32"/>
          <w:sz w:val="32"/>
          <w:szCs w:val="32"/>
        </w:rPr>
        <w:t>专门</w:t>
      </w:r>
      <w:r>
        <w:rPr>
          <w:rFonts w:ascii="Times New Roman" w:hAnsi="Times New Roman" w:eastAsia="方正仿宋_GBK" w:cs="Times New Roman"/>
          <w:kern w:val="32"/>
          <w:sz w:val="32"/>
          <w:szCs w:val="32"/>
        </w:rPr>
        <w:t>指导，对发布格式不规范、排版不美观、分类不准确和错别字等问题予以</w:t>
      </w:r>
      <w:r>
        <w:rPr>
          <w:rFonts w:hint="eastAsia" w:ascii="Times New Roman" w:hAnsi="Times New Roman" w:eastAsia="方正仿宋_GBK" w:cs="Times New Roman"/>
          <w:kern w:val="32"/>
          <w:sz w:val="32"/>
          <w:szCs w:val="32"/>
        </w:rPr>
        <w:t>及时</w:t>
      </w:r>
      <w:r>
        <w:rPr>
          <w:rFonts w:ascii="Times New Roman" w:hAnsi="Times New Roman" w:eastAsia="方正仿宋_GBK" w:cs="Times New Roman"/>
          <w:kern w:val="32"/>
          <w:sz w:val="32"/>
          <w:szCs w:val="32"/>
        </w:rPr>
        <w:t>纠错。</w:t>
      </w:r>
    </w:p>
    <w:p>
      <w:pPr>
        <w:numPr>
          <w:ilvl w:val="0"/>
          <w:numId w:val="3"/>
        </w:numPr>
        <w:spacing w:line="560" w:lineRule="exact"/>
        <w:ind w:firstLine="640" w:firstLineChars="200"/>
        <w:rPr>
          <w:rFonts w:hint="default" w:ascii="Times New Roman" w:hAnsi="Times New Roman" w:eastAsia="方正仿宋_GBK" w:cs="Times New Roman"/>
          <w:sz w:val="32"/>
          <w:szCs w:val="32"/>
        </w:rPr>
      </w:pPr>
      <w:r>
        <w:rPr>
          <w:rFonts w:hint="default" w:ascii="Times New Roman" w:hAnsi="Times New Roman" w:eastAsia="方正楷体_GBK" w:cs="Times New Roman"/>
          <w:sz w:val="32"/>
          <w:szCs w:val="32"/>
        </w:rPr>
        <w:t>依申请公开情况</w:t>
      </w:r>
    </w:p>
    <w:p>
      <w:pPr>
        <w:numPr>
          <w:ilvl w:val="0"/>
          <w:numId w:val="4"/>
        </w:numPr>
        <w:spacing w:line="560" w:lineRule="exact"/>
        <w:ind w:firstLine="600"/>
        <w:rPr>
          <w:rFonts w:ascii="Times New Roman" w:hAnsi="Times New Roman" w:eastAsia="方正仿宋_GBK" w:cs="Times New Roman"/>
          <w:kern w:val="32"/>
          <w:sz w:val="32"/>
          <w:szCs w:val="32"/>
        </w:rPr>
      </w:pPr>
      <w:r>
        <w:rPr>
          <w:rFonts w:hint="eastAsia" w:ascii="方正仿宋_GBK" w:hAnsi="方正仿宋_GBK" w:eastAsia="方正仿宋_GBK" w:cs="方正仿宋_GBK"/>
          <w:b/>
          <w:bCs/>
          <w:kern w:val="32"/>
          <w:sz w:val="32"/>
          <w:szCs w:val="32"/>
        </w:rPr>
        <w:t>在申请渠道方面</w:t>
      </w:r>
      <w:r>
        <w:rPr>
          <w:rFonts w:hint="eastAsia" w:ascii="方正仿宋_GBK" w:hAnsi="方正仿宋_GBK" w:eastAsia="方正仿宋_GBK" w:cs="方正仿宋_GBK"/>
          <w:b/>
          <w:bCs/>
          <w:kern w:val="32"/>
          <w:sz w:val="32"/>
          <w:szCs w:val="32"/>
          <w:lang w:eastAsia="zh-CN"/>
        </w:rPr>
        <w:t>。</w:t>
      </w:r>
      <w:r>
        <w:rPr>
          <w:rFonts w:hint="eastAsia" w:ascii="Times New Roman" w:hAnsi="Times New Roman" w:eastAsia="方正仿宋_GBK" w:cs="Times New Roman"/>
          <w:kern w:val="32"/>
          <w:sz w:val="32"/>
          <w:szCs w:val="32"/>
          <w:lang w:eastAsia="zh-CN"/>
        </w:rPr>
        <w:t>我区将“政府网站申请”、“邮政寄送”和“当面提交”作为政府信息公开申请的主要渠道</w:t>
      </w:r>
      <w:r>
        <w:rPr>
          <w:rFonts w:ascii="Times New Roman" w:hAnsi="Times New Roman" w:eastAsia="方正仿宋_GBK" w:cs="Times New Roman"/>
          <w:kern w:val="32"/>
          <w:sz w:val="32"/>
          <w:szCs w:val="32"/>
        </w:rPr>
        <w:t>，</w:t>
      </w:r>
      <w:r>
        <w:rPr>
          <w:rFonts w:hint="eastAsia" w:eastAsia="方正仿宋_GBK" w:cs="Times New Roman"/>
          <w:kern w:val="32"/>
          <w:sz w:val="32"/>
          <w:szCs w:val="32"/>
          <w:lang w:eastAsia="zh-CN"/>
        </w:rPr>
        <w:t>同时</w:t>
      </w:r>
      <w:r>
        <w:rPr>
          <w:rFonts w:hint="eastAsia" w:ascii="Times New Roman" w:hAnsi="Times New Roman" w:eastAsia="方正仿宋_GBK" w:cs="Times New Roman"/>
          <w:kern w:val="32"/>
          <w:sz w:val="32"/>
          <w:szCs w:val="32"/>
        </w:rPr>
        <w:t>为进一步方便申请人，</w:t>
      </w:r>
      <w:r>
        <w:rPr>
          <w:rFonts w:ascii="Times New Roman" w:hAnsi="Times New Roman" w:eastAsia="方正仿宋_GBK" w:cs="Times New Roman"/>
          <w:kern w:val="32"/>
          <w:sz w:val="32"/>
          <w:szCs w:val="32"/>
        </w:rPr>
        <w:t>在政务服务中心设置服务窗口和服务信箱，配备专人受理政府信息公开申请。</w:t>
      </w:r>
    </w:p>
    <w:p>
      <w:pPr>
        <w:numPr>
          <w:ilvl w:val="0"/>
          <w:numId w:val="4"/>
        </w:numPr>
        <w:spacing w:line="560" w:lineRule="exact"/>
        <w:ind w:left="0" w:leftChars="0" w:firstLine="600" w:firstLineChars="0"/>
        <w:rPr>
          <w:rFonts w:ascii="Times New Roman" w:hAnsi="Times New Roman" w:eastAsia="方正仿宋_GBK" w:cs="Times New Roman"/>
          <w:kern w:val="32"/>
          <w:sz w:val="32"/>
          <w:szCs w:val="32"/>
        </w:rPr>
      </w:pPr>
      <w:r>
        <w:rPr>
          <w:rFonts w:hint="eastAsia" w:ascii="方正仿宋_GBK" w:hAnsi="方正仿宋_GBK" w:eastAsia="方正仿宋_GBK" w:cs="方正仿宋_GBK"/>
          <w:b/>
          <w:bCs/>
          <w:kern w:val="32"/>
          <w:sz w:val="32"/>
          <w:szCs w:val="32"/>
        </w:rPr>
        <w:t>在办理</w:t>
      </w:r>
      <w:r>
        <w:rPr>
          <w:rFonts w:hint="eastAsia" w:ascii="方正仿宋_GBK" w:hAnsi="方正仿宋_GBK" w:eastAsia="方正仿宋_GBK" w:cs="方正仿宋_GBK"/>
          <w:b/>
          <w:bCs/>
          <w:kern w:val="32"/>
          <w:sz w:val="32"/>
          <w:szCs w:val="32"/>
          <w:lang w:eastAsia="zh-CN"/>
        </w:rPr>
        <w:t>程序</w:t>
      </w:r>
      <w:r>
        <w:rPr>
          <w:rFonts w:hint="eastAsia" w:ascii="方正仿宋_GBK" w:hAnsi="方正仿宋_GBK" w:eastAsia="方正仿宋_GBK" w:cs="方正仿宋_GBK"/>
          <w:b/>
          <w:bCs/>
          <w:kern w:val="32"/>
          <w:sz w:val="32"/>
          <w:szCs w:val="32"/>
        </w:rPr>
        <w:t>方面</w:t>
      </w:r>
      <w:r>
        <w:rPr>
          <w:rFonts w:hint="eastAsia" w:ascii="方正仿宋_GBK" w:hAnsi="方正仿宋_GBK" w:eastAsia="方正仿宋_GBK" w:cs="方正仿宋_GBK"/>
          <w:b/>
          <w:bCs/>
          <w:kern w:val="32"/>
          <w:sz w:val="32"/>
          <w:szCs w:val="32"/>
          <w:lang w:eastAsia="zh-CN"/>
        </w:rPr>
        <w:t>。</w:t>
      </w:r>
      <w:r>
        <w:rPr>
          <w:rFonts w:ascii="Times New Roman" w:hAnsi="Times New Roman" w:eastAsia="方正仿宋_GBK" w:cs="Times New Roman"/>
          <w:kern w:val="32"/>
          <w:sz w:val="32"/>
          <w:szCs w:val="32"/>
        </w:rPr>
        <w:t>申请人向区政府申请公开政府信息，应填写《政府信息公开申请表》</w:t>
      </w:r>
      <w:r>
        <w:rPr>
          <w:rFonts w:hint="eastAsia" w:eastAsia="方正仿宋_GBK" w:cs="Times New Roman"/>
          <w:kern w:val="32"/>
          <w:sz w:val="32"/>
          <w:szCs w:val="32"/>
          <w:lang w:eastAsia="zh-CN"/>
        </w:rPr>
        <w:t>；</w:t>
      </w:r>
      <w:r>
        <w:rPr>
          <w:rFonts w:ascii="Times New Roman" w:hAnsi="Times New Roman" w:eastAsia="方正仿宋_GBK" w:cs="Times New Roman"/>
          <w:kern w:val="32"/>
          <w:sz w:val="32"/>
          <w:szCs w:val="32"/>
        </w:rPr>
        <w:t>《政府信息公开申请表》可以在受理机构处领取，也可以在区政府网站下载</w:t>
      </w:r>
      <w:r>
        <w:rPr>
          <w:rFonts w:hint="eastAsia" w:eastAsia="方正仿宋_GBK" w:cs="Times New Roman"/>
          <w:kern w:val="32"/>
          <w:sz w:val="32"/>
          <w:szCs w:val="32"/>
          <w:lang w:eastAsia="zh-CN"/>
        </w:rPr>
        <w:t>。</w:t>
      </w:r>
      <w:r>
        <w:rPr>
          <w:rFonts w:ascii="Times New Roman" w:hAnsi="Times New Roman" w:eastAsia="方正仿宋_GBK" w:cs="Times New Roman"/>
          <w:kern w:val="32"/>
          <w:sz w:val="32"/>
          <w:szCs w:val="32"/>
        </w:rPr>
        <w:t>我区收到申请后，</w:t>
      </w:r>
      <w:r>
        <w:rPr>
          <w:rFonts w:hint="eastAsia" w:eastAsia="方正仿宋_GBK" w:cs="Times New Roman"/>
          <w:kern w:val="32"/>
          <w:sz w:val="32"/>
          <w:szCs w:val="32"/>
          <w:lang w:eastAsia="zh-CN"/>
        </w:rPr>
        <w:t>先行进行</w:t>
      </w:r>
      <w:r>
        <w:rPr>
          <w:rFonts w:hint="eastAsia" w:ascii="Times New Roman" w:hAnsi="Times New Roman" w:eastAsia="方正仿宋_GBK" w:cs="Times New Roman"/>
          <w:kern w:val="32"/>
          <w:sz w:val="32"/>
          <w:szCs w:val="32"/>
        </w:rPr>
        <w:t>登记，详细记载申请的主要信息</w:t>
      </w:r>
      <w:r>
        <w:rPr>
          <w:rFonts w:hint="eastAsia" w:eastAsia="方正仿宋_GBK" w:cs="Times New Roman"/>
          <w:kern w:val="32"/>
          <w:sz w:val="32"/>
          <w:szCs w:val="32"/>
          <w:lang w:eastAsia="zh-CN"/>
        </w:rPr>
        <w:t>；其次，</w:t>
      </w:r>
      <w:r>
        <w:rPr>
          <w:rFonts w:ascii="Times New Roman" w:hAnsi="Times New Roman" w:eastAsia="方正仿宋_GBK" w:cs="Times New Roman"/>
          <w:kern w:val="32"/>
          <w:sz w:val="32"/>
          <w:szCs w:val="32"/>
        </w:rPr>
        <w:t>从形式上对申请的要件是否完备进行审查，对于要件不完备的申请予以退回，要求申请人补正；</w:t>
      </w:r>
      <w:r>
        <w:rPr>
          <w:rFonts w:hint="eastAsia" w:ascii="Times New Roman" w:hAnsi="Times New Roman" w:eastAsia="方正仿宋_GBK" w:cs="Times New Roman"/>
          <w:kern w:val="32"/>
          <w:sz w:val="32"/>
          <w:szCs w:val="32"/>
        </w:rPr>
        <w:t>申请人对事实清楚的政府信息提出公开申请时，</w:t>
      </w:r>
      <w:r>
        <w:rPr>
          <w:rFonts w:ascii="Times New Roman" w:hAnsi="Times New Roman" w:eastAsia="方正仿宋_GBK" w:cs="Times New Roman"/>
          <w:kern w:val="32"/>
          <w:sz w:val="32"/>
          <w:szCs w:val="32"/>
        </w:rPr>
        <w:t>由专人填写依申请公开办理单，区政府办公室主任签批后交具体部门办理，部门</w:t>
      </w:r>
      <w:r>
        <w:rPr>
          <w:rFonts w:hint="eastAsia" w:eastAsia="方正仿宋_GBK" w:cs="Times New Roman"/>
          <w:kern w:val="32"/>
          <w:sz w:val="32"/>
          <w:szCs w:val="32"/>
          <w:lang w:eastAsia="zh-CN"/>
        </w:rPr>
        <w:t>出具拟办意见，经法律顾问审核后由区政府答复申请人</w:t>
      </w:r>
      <w:r>
        <w:rPr>
          <w:rFonts w:ascii="Times New Roman" w:hAnsi="Times New Roman" w:eastAsia="方正仿宋_GBK" w:cs="Times New Roman"/>
          <w:kern w:val="32"/>
          <w:sz w:val="32"/>
          <w:szCs w:val="32"/>
        </w:rPr>
        <w:t>；申请内容如涉及多部门，明确主办单位和协办单位，通过协调会等形式进行会商，形成统一意见后，由区政府答复申请人。</w:t>
      </w:r>
    </w:p>
    <w:p>
      <w:pPr>
        <w:numPr>
          <w:ilvl w:val="0"/>
          <w:numId w:val="4"/>
        </w:numPr>
        <w:spacing w:line="560" w:lineRule="exact"/>
        <w:ind w:left="0" w:leftChars="0" w:firstLine="600" w:firstLineChars="0"/>
        <w:rPr>
          <w:rFonts w:ascii="Times New Roman" w:hAnsi="Times New Roman" w:eastAsia="方正仿宋_GBK" w:cs="Times New Roman"/>
          <w:kern w:val="32"/>
          <w:sz w:val="32"/>
          <w:szCs w:val="32"/>
        </w:rPr>
      </w:pPr>
      <w:r>
        <w:rPr>
          <w:rFonts w:hint="eastAsia" w:ascii="方正仿宋_GBK" w:hAnsi="方正仿宋_GBK" w:eastAsia="方正仿宋_GBK" w:cs="方正仿宋_GBK"/>
          <w:b/>
          <w:bCs/>
          <w:kern w:val="32"/>
          <w:sz w:val="32"/>
          <w:szCs w:val="32"/>
        </w:rPr>
        <w:t>在答复规范方面</w:t>
      </w:r>
      <w:r>
        <w:rPr>
          <w:rFonts w:hint="eastAsia" w:ascii="方正仿宋_GBK" w:hAnsi="方正仿宋_GBK" w:eastAsia="方正仿宋_GBK" w:cs="方正仿宋_GBK"/>
          <w:b/>
          <w:bCs/>
          <w:kern w:val="32"/>
          <w:sz w:val="32"/>
          <w:szCs w:val="32"/>
          <w:lang w:eastAsia="zh-CN"/>
        </w:rPr>
        <w:t>。</w:t>
      </w:r>
      <w:r>
        <w:rPr>
          <w:rFonts w:ascii="Times New Roman" w:hAnsi="Times New Roman" w:eastAsia="方正仿宋_GBK" w:cs="Times New Roman"/>
          <w:b/>
          <w:bCs w:val="0"/>
          <w:kern w:val="32"/>
          <w:sz w:val="32"/>
          <w:szCs w:val="32"/>
        </w:rPr>
        <w:t>一是</w:t>
      </w:r>
      <w:r>
        <w:rPr>
          <w:rFonts w:ascii="Times New Roman" w:hAnsi="Times New Roman" w:eastAsia="方正仿宋_GBK" w:cs="Times New Roman"/>
          <w:kern w:val="32"/>
          <w:sz w:val="32"/>
          <w:szCs w:val="32"/>
        </w:rPr>
        <w:t>要求答复时限规范，</w:t>
      </w:r>
      <w:r>
        <w:rPr>
          <w:rFonts w:hint="eastAsia" w:eastAsia="方正仿宋_GBK" w:cs="Times New Roman"/>
          <w:kern w:val="32"/>
          <w:sz w:val="32"/>
          <w:szCs w:val="32"/>
          <w:lang w:eastAsia="zh-CN"/>
        </w:rPr>
        <w:t>根据</w:t>
      </w:r>
      <w:r>
        <w:rPr>
          <w:rFonts w:hint="eastAsia" w:eastAsia="方正仿宋_GBK" w:cs="Times New Roman"/>
          <w:kern w:val="32"/>
          <w:sz w:val="32"/>
          <w:szCs w:val="32"/>
          <w:lang w:val="en-US" w:eastAsia="zh-CN"/>
        </w:rPr>
        <w:t>2019年</w:t>
      </w:r>
      <w:r>
        <w:rPr>
          <w:rFonts w:hint="eastAsia" w:eastAsia="方正仿宋_GBK" w:cs="Times New Roman"/>
          <w:kern w:val="32"/>
          <w:sz w:val="32"/>
          <w:szCs w:val="32"/>
          <w:lang w:eastAsia="zh-CN"/>
        </w:rPr>
        <w:t>新修订的</w:t>
      </w:r>
      <w:r>
        <w:rPr>
          <w:rFonts w:hint="default" w:ascii="Times New Roman" w:hAnsi="Times New Roman" w:eastAsia="方正仿宋_GBK" w:cs="Times New Roman"/>
          <w:sz w:val="32"/>
          <w:szCs w:val="32"/>
        </w:rPr>
        <w:t>《</w:t>
      </w:r>
      <w:r>
        <w:rPr>
          <w:rFonts w:hint="eastAsia" w:eastAsia="方正仿宋_GBK" w:cs="Times New Roman"/>
          <w:sz w:val="32"/>
          <w:szCs w:val="32"/>
          <w:lang w:eastAsia="zh-CN"/>
        </w:rPr>
        <w:t>政府信息公开</w:t>
      </w:r>
      <w:r>
        <w:rPr>
          <w:rFonts w:hint="default" w:ascii="Times New Roman" w:hAnsi="Times New Roman" w:eastAsia="方正仿宋_GBK" w:cs="Times New Roman"/>
          <w:sz w:val="32"/>
          <w:szCs w:val="32"/>
        </w:rPr>
        <w:t>条例》</w:t>
      </w:r>
      <w:r>
        <w:rPr>
          <w:rFonts w:hint="eastAsia" w:eastAsia="方正仿宋_GBK" w:cs="Times New Roman"/>
          <w:sz w:val="32"/>
          <w:szCs w:val="32"/>
          <w:lang w:eastAsia="zh-CN"/>
        </w:rPr>
        <w:t>，</w:t>
      </w:r>
      <w:r>
        <w:rPr>
          <w:rFonts w:ascii="Times New Roman" w:hAnsi="Times New Roman" w:eastAsia="方正仿宋_GBK" w:cs="Times New Roman"/>
          <w:kern w:val="32"/>
          <w:sz w:val="32"/>
          <w:szCs w:val="32"/>
        </w:rPr>
        <w:t>对政府信息</w:t>
      </w:r>
      <w:r>
        <w:rPr>
          <w:rFonts w:hint="eastAsia" w:eastAsia="方正仿宋_GBK" w:cs="Times New Roman"/>
          <w:kern w:val="32"/>
          <w:sz w:val="32"/>
          <w:szCs w:val="32"/>
          <w:lang w:eastAsia="zh-CN"/>
        </w:rPr>
        <w:t>公开</w:t>
      </w:r>
      <w:r>
        <w:rPr>
          <w:rFonts w:ascii="Times New Roman" w:hAnsi="Times New Roman" w:eastAsia="方正仿宋_GBK" w:cs="Times New Roman"/>
          <w:kern w:val="32"/>
          <w:sz w:val="32"/>
          <w:szCs w:val="32"/>
        </w:rPr>
        <w:t>申请，我区均明确要求在</w:t>
      </w:r>
      <w:r>
        <w:rPr>
          <w:rFonts w:hint="eastAsia" w:eastAsia="方正仿宋_GBK" w:cs="Times New Roman"/>
          <w:kern w:val="32"/>
          <w:sz w:val="32"/>
          <w:szCs w:val="32"/>
          <w:lang w:val="en-US" w:eastAsia="zh-CN"/>
        </w:rPr>
        <w:t>20</w:t>
      </w:r>
      <w:r>
        <w:rPr>
          <w:rFonts w:ascii="Times New Roman" w:hAnsi="Times New Roman" w:eastAsia="方正仿宋_GBK" w:cs="Times New Roman"/>
          <w:kern w:val="32"/>
          <w:sz w:val="32"/>
          <w:szCs w:val="32"/>
        </w:rPr>
        <w:t>个工作日内进行答复，对于延迟答复的办件，在延时答复前</w:t>
      </w:r>
      <w:r>
        <w:rPr>
          <w:rFonts w:hint="eastAsia" w:eastAsia="方正仿宋_GBK" w:cs="Times New Roman"/>
          <w:kern w:val="32"/>
          <w:sz w:val="32"/>
          <w:szCs w:val="32"/>
          <w:lang w:eastAsia="zh-CN"/>
        </w:rPr>
        <w:t>及时</w:t>
      </w:r>
      <w:r>
        <w:rPr>
          <w:rFonts w:ascii="Times New Roman" w:hAnsi="Times New Roman" w:eastAsia="方正仿宋_GBK" w:cs="Times New Roman"/>
          <w:kern w:val="32"/>
          <w:sz w:val="32"/>
          <w:szCs w:val="32"/>
        </w:rPr>
        <w:t>办理延时答复签批备案手续，</w:t>
      </w:r>
      <w:r>
        <w:rPr>
          <w:rFonts w:hint="eastAsia" w:ascii="Times New Roman" w:hAnsi="Times New Roman" w:eastAsia="方正仿宋_GBK" w:cs="Times New Roman"/>
          <w:kern w:val="32"/>
          <w:sz w:val="32"/>
          <w:szCs w:val="32"/>
          <w:lang w:eastAsia="zh-CN"/>
        </w:rPr>
        <w:t>同步</w:t>
      </w:r>
      <w:r>
        <w:rPr>
          <w:rFonts w:ascii="Times New Roman" w:hAnsi="Times New Roman" w:eastAsia="方正仿宋_GBK" w:cs="Times New Roman"/>
          <w:kern w:val="32"/>
          <w:sz w:val="32"/>
          <w:szCs w:val="32"/>
        </w:rPr>
        <w:t>告知当事人相关情况，力求取得当事人的理解。</w:t>
      </w:r>
      <w:r>
        <w:rPr>
          <w:rFonts w:ascii="Times New Roman" w:hAnsi="Times New Roman" w:eastAsia="方正仿宋_GBK" w:cs="Times New Roman"/>
          <w:b/>
          <w:bCs/>
          <w:kern w:val="32"/>
          <w:sz w:val="32"/>
          <w:szCs w:val="32"/>
        </w:rPr>
        <w:t>二是</w:t>
      </w:r>
      <w:r>
        <w:rPr>
          <w:rFonts w:ascii="Times New Roman" w:hAnsi="Times New Roman" w:eastAsia="方正仿宋_GBK" w:cs="Times New Roman"/>
          <w:kern w:val="32"/>
          <w:sz w:val="32"/>
          <w:szCs w:val="32"/>
        </w:rPr>
        <w:t>要求答复形式规范，</w:t>
      </w:r>
      <w:r>
        <w:rPr>
          <w:rFonts w:hint="eastAsia" w:ascii="Times New Roman" w:hAnsi="Times New Roman" w:eastAsia="方正仿宋_GBK" w:cs="Times New Roman"/>
          <w:kern w:val="32"/>
          <w:sz w:val="32"/>
          <w:szCs w:val="32"/>
          <w:lang w:eastAsia="zh-CN"/>
        </w:rPr>
        <w:t>根据省政府办公厅</w:t>
      </w:r>
      <w:r>
        <w:rPr>
          <w:rFonts w:hint="eastAsia" w:ascii="Times New Roman" w:hAnsi="Times New Roman" w:eastAsia="方正仿宋_GBK" w:cs="Times New Roman"/>
          <w:kern w:val="32"/>
          <w:sz w:val="32"/>
          <w:szCs w:val="32"/>
        </w:rPr>
        <w:t>《</w:t>
      </w:r>
      <w:r>
        <w:rPr>
          <w:rFonts w:hint="eastAsia" w:ascii="Times New Roman" w:hAnsi="Times New Roman" w:eastAsia="方正仿宋_GBK" w:cs="Times New Roman"/>
          <w:kern w:val="32"/>
          <w:sz w:val="32"/>
          <w:szCs w:val="32"/>
          <w:lang w:eastAsia="zh-CN"/>
        </w:rPr>
        <w:t>关于印发</w:t>
      </w:r>
      <w:r>
        <w:rPr>
          <w:rFonts w:hint="eastAsia" w:ascii="Times New Roman" w:hAnsi="Times New Roman" w:eastAsia="方正仿宋_GBK" w:cs="Times New Roman"/>
          <w:kern w:val="32"/>
          <w:sz w:val="32"/>
          <w:szCs w:val="32"/>
        </w:rPr>
        <w:t>江苏省政府信息公开申请办理答复规范</w:t>
      </w:r>
      <w:r>
        <w:rPr>
          <w:rFonts w:hint="eastAsia" w:ascii="Times New Roman" w:hAnsi="Times New Roman" w:eastAsia="方正仿宋_GBK" w:cs="Times New Roman"/>
          <w:kern w:val="32"/>
          <w:sz w:val="32"/>
          <w:szCs w:val="32"/>
          <w:lang w:eastAsia="zh-CN"/>
        </w:rPr>
        <w:t>的通知</w:t>
      </w:r>
      <w:r>
        <w:rPr>
          <w:rFonts w:hint="eastAsia" w:ascii="Times New Roman" w:hAnsi="Times New Roman" w:eastAsia="方正仿宋_GBK" w:cs="Times New Roman"/>
          <w:kern w:val="32"/>
          <w:sz w:val="32"/>
          <w:szCs w:val="32"/>
        </w:rPr>
        <w:t>》</w:t>
      </w:r>
      <w:r>
        <w:rPr>
          <w:rFonts w:hint="eastAsia" w:ascii="Times New Roman" w:hAnsi="Times New Roman" w:eastAsia="方正仿宋_GBK" w:cs="Times New Roman"/>
          <w:kern w:val="32"/>
          <w:sz w:val="32"/>
          <w:szCs w:val="32"/>
          <w:lang w:eastAsia="zh-CN"/>
        </w:rPr>
        <w:t>（苏政办函〔2019〕98号）要求，及时传达至全区各部门，</w:t>
      </w:r>
      <w:r>
        <w:rPr>
          <w:rFonts w:hint="eastAsia" w:ascii="Times New Roman" w:hAnsi="Times New Roman" w:eastAsia="方正仿宋_GBK" w:cs="Times New Roman"/>
          <w:kern w:val="32"/>
          <w:sz w:val="32"/>
          <w:szCs w:val="32"/>
        </w:rPr>
        <w:t>切实以相关规范为操作指南，提升本</w:t>
      </w:r>
      <w:r>
        <w:rPr>
          <w:rFonts w:hint="eastAsia" w:ascii="Times New Roman" w:hAnsi="Times New Roman" w:eastAsia="方正仿宋_GBK" w:cs="Times New Roman"/>
          <w:kern w:val="32"/>
          <w:sz w:val="32"/>
          <w:szCs w:val="32"/>
          <w:lang w:eastAsia="zh-CN"/>
        </w:rPr>
        <w:t>区</w:t>
      </w:r>
      <w:r>
        <w:rPr>
          <w:rFonts w:hint="eastAsia" w:ascii="Times New Roman" w:hAnsi="Times New Roman" w:eastAsia="方正仿宋_GBK" w:cs="Times New Roman"/>
          <w:kern w:val="32"/>
          <w:sz w:val="32"/>
          <w:szCs w:val="32"/>
        </w:rPr>
        <w:t>信息公开申请办理的标准化、精细化和规范化水平。</w:t>
      </w:r>
      <w:r>
        <w:rPr>
          <w:rFonts w:ascii="Times New Roman" w:hAnsi="Times New Roman" w:eastAsia="方正仿宋_GBK" w:cs="Times New Roman"/>
          <w:b/>
          <w:bCs/>
          <w:kern w:val="32"/>
          <w:sz w:val="32"/>
          <w:szCs w:val="32"/>
        </w:rPr>
        <w:t>三是</w:t>
      </w:r>
      <w:r>
        <w:rPr>
          <w:rFonts w:ascii="Times New Roman" w:hAnsi="Times New Roman" w:eastAsia="方正仿宋_GBK" w:cs="Times New Roman"/>
          <w:kern w:val="32"/>
          <w:sz w:val="32"/>
          <w:szCs w:val="32"/>
        </w:rPr>
        <w:t>要求答复内容规范，所有答复均</w:t>
      </w:r>
      <w:r>
        <w:rPr>
          <w:rFonts w:hint="eastAsia" w:ascii="Times New Roman" w:hAnsi="Times New Roman" w:eastAsia="方正仿宋_GBK" w:cs="Times New Roman"/>
          <w:kern w:val="32"/>
          <w:sz w:val="32"/>
          <w:szCs w:val="32"/>
          <w:lang w:eastAsia="zh-CN"/>
        </w:rPr>
        <w:t>有法必依</w:t>
      </w:r>
      <w:r>
        <w:rPr>
          <w:rFonts w:ascii="Times New Roman" w:hAnsi="Times New Roman" w:eastAsia="方正仿宋_GBK" w:cs="Times New Roman"/>
          <w:kern w:val="32"/>
          <w:sz w:val="32"/>
          <w:szCs w:val="32"/>
        </w:rPr>
        <w:t>，同时由区政府法律顾问予以把关，领导最后签批，确保答复内容规范、合法。</w:t>
      </w:r>
    </w:p>
    <w:p>
      <w:pPr>
        <w:numPr>
          <w:ilvl w:val="0"/>
          <w:numId w:val="3"/>
        </w:numPr>
        <w:spacing w:line="560" w:lineRule="exact"/>
        <w:ind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政府信息平台建设情况</w:t>
      </w:r>
    </w:p>
    <w:p>
      <w:pPr>
        <w:numPr>
          <w:ilvl w:val="0"/>
          <w:numId w:val="5"/>
        </w:numPr>
        <w:spacing w:line="560" w:lineRule="exact"/>
        <w:ind w:firstLine="643" w:firstLineChars="200"/>
        <w:rPr>
          <w:rFonts w:hint="default" w:ascii="Times New Roman" w:hAnsi="Times New Roman" w:eastAsia="方正仿宋_GBK" w:cs="Times New Roman"/>
          <w:b/>
          <w:bCs/>
          <w:sz w:val="32"/>
          <w:szCs w:val="32"/>
        </w:rPr>
      </w:pPr>
      <w:r>
        <w:rPr>
          <w:rFonts w:hint="eastAsia" w:ascii="方正仿宋_GBK" w:hAnsi="方正仿宋_GBK" w:eastAsia="方正仿宋_GBK" w:cs="方正仿宋_GBK"/>
          <w:b/>
          <w:bCs/>
          <w:sz w:val="32"/>
          <w:szCs w:val="32"/>
          <w:lang w:eastAsia="zh-CN"/>
        </w:rPr>
        <w:t>政府网站方面</w:t>
      </w:r>
      <w:r>
        <w:rPr>
          <w:rFonts w:hint="eastAsia" w:ascii="方正仿宋_GBK" w:hAnsi="方正仿宋_GBK" w:eastAsia="方正仿宋_GBK" w:cs="方正仿宋_GBK"/>
          <w:b/>
          <w:bCs/>
          <w:sz w:val="32"/>
          <w:szCs w:val="32"/>
        </w:rPr>
        <w:t>。</w:t>
      </w:r>
      <w:r>
        <w:rPr>
          <w:rFonts w:hint="eastAsia" w:ascii="Times New Roman" w:hAnsi="Times New Roman" w:eastAsia="方正仿宋_GBK" w:cs="Times New Roman"/>
          <w:kern w:val="32"/>
          <w:sz w:val="32"/>
          <w:szCs w:val="32"/>
        </w:rPr>
        <w:t>加强网站集约化建设，将区政府网站迁移至市级平台，严格对照国办标准，通过优化栏目设置，加强内容更新，完善功能设计，定期开展监测，及时做好整改，确保政务公开和政务服务质量。</w:t>
      </w:r>
    </w:p>
    <w:p>
      <w:pPr>
        <w:spacing w:line="560" w:lineRule="exact"/>
        <w:ind w:firstLine="643" w:firstLineChars="200"/>
        <w:rPr>
          <w:rFonts w:hint="default" w:ascii="Times New Roman" w:hAnsi="Times New Roman" w:eastAsia="方正仿宋_GBK" w:cs="Times New Roman"/>
          <w:b/>
          <w:bCs/>
          <w:sz w:val="32"/>
          <w:szCs w:val="32"/>
        </w:rPr>
      </w:pPr>
      <w:r>
        <w:rPr>
          <w:rFonts w:hint="eastAsia" w:eastAsia="方正仿宋_GBK" w:cs="Times New Roman"/>
          <w:b/>
          <w:bCs/>
          <w:sz w:val="32"/>
          <w:szCs w:val="32"/>
          <w:lang w:val="en-US" w:eastAsia="zh-CN"/>
        </w:rPr>
        <w:t>2. 政务新媒体方面。</w:t>
      </w:r>
      <w:r>
        <w:rPr>
          <w:rFonts w:hint="default" w:ascii="Times New Roman" w:hAnsi="Times New Roman" w:eastAsia="方正仿宋_GBK" w:cs="Times New Roman"/>
          <w:sz w:val="32"/>
          <w:szCs w:val="32"/>
        </w:rPr>
        <w:t>加大政务新媒体集约整合力度，集中力量做优做强“建邺播报”主账号，落实日常管理责任，做好安全防护和内容保障，不断提升其运维水平，充分发挥其传递政府声音、消除公众疑虑、正确引导舆论的作用。</w:t>
      </w:r>
    </w:p>
    <w:p>
      <w:pPr>
        <w:numPr>
          <w:ilvl w:val="0"/>
          <w:numId w:val="3"/>
        </w:numPr>
        <w:spacing w:line="560" w:lineRule="exact"/>
        <w:ind w:left="0" w:leftChars="0" w:firstLine="640" w:firstLineChars="200"/>
        <w:rPr>
          <w:rFonts w:hint="eastAsia" w:ascii="方正楷体_GBK" w:hAnsi="方正楷体_GBK" w:eastAsia="方正楷体_GBK" w:cs="方正楷体_GBK"/>
          <w:sz w:val="32"/>
          <w:szCs w:val="32"/>
        </w:rPr>
      </w:pPr>
      <w:r>
        <w:rPr>
          <w:rFonts w:hint="eastAsia" w:ascii="方正楷体_GBK" w:hAnsi="方正楷体_GBK" w:eastAsia="方正楷体_GBK" w:cs="方正楷体_GBK"/>
          <w:sz w:val="32"/>
          <w:szCs w:val="32"/>
        </w:rPr>
        <w:t>政府信息管理情况、监督保障情况</w:t>
      </w:r>
    </w:p>
    <w:p>
      <w:pPr>
        <w:spacing w:line="560" w:lineRule="exact"/>
        <w:ind w:firstLine="640" w:firstLineChars="200"/>
        <w:rPr>
          <w:rFonts w:hint="default" w:ascii="Times New Roman" w:hAnsi="Times New Roman" w:eastAsia="方正仿宋_GBK" w:cs="Times New Roman"/>
          <w:sz w:val="32"/>
          <w:szCs w:val="32"/>
        </w:rPr>
      </w:pPr>
      <w:r>
        <w:rPr>
          <w:rFonts w:hint="eastAsia" w:eastAsia="方正仿宋_GBK" w:cs="Times New Roman"/>
          <w:sz w:val="32"/>
          <w:szCs w:val="32"/>
          <w:lang w:eastAsia="zh-CN"/>
        </w:rPr>
        <w:t>根据机构改革和人员调整情况，及时更新建邺区政务公开领导小组成员。同时，</w:t>
      </w:r>
      <w:r>
        <w:rPr>
          <w:rFonts w:hint="default" w:ascii="Times New Roman" w:hAnsi="Times New Roman" w:eastAsia="方正仿宋_GBK" w:cs="Times New Roman"/>
          <w:sz w:val="32"/>
          <w:szCs w:val="32"/>
          <w:lang w:eastAsia="zh-CN"/>
        </w:rPr>
        <w:t>成立</w:t>
      </w:r>
      <w:r>
        <w:rPr>
          <w:rFonts w:hint="eastAsia" w:eastAsia="方正仿宋_GBK" w:cs="Times New Roman"/>
          <w:sz w:val="32"/>
          <w:szCs w:val="32"/>
          <w:lang w:eastAsia="zh-CN"/>
        </w:rPr>
        <w:t>了</w:t>
      </w:r>
      <w:r>
        <w:rPr>
          <w:rFonts w:hint="default" w:ascii="Times New Roman" w:hAnsi="Times New Roman" w:eastAsia="方正仿宋_GBK" w:cs="Times New Roman"/>
          <w:sz w:val="32"/>
          <w:szCs w:val="32"/>
          <w:lang w:eastAsia="zh-CN"/>
        </w:rPr>
        <w:t>以常务副区长为组长的全区政府网站工作领导小组，</w:t>
      </w:r>
      <w:r>
        <w:rPr>
          <w:rFonts w:hint="default" w:ascii="Times New Roman" w:hAnsi="Times New Roman" w:eastAsia="方正仿宋_GBK" w:cs="Times New Roman"/>
          <w:sz w:val="32"/>
          <w:szCs w:val="32"/>
        </w:rPr>
        <w:t>进一步完善政务公开和网站管理机制，印发《南京市建邺区人民政府网站内容保障责任分工》《建邺区政务公开及政府网站建设考核办法》</w:t>
      </w:r>
      <w:r>
        <w:rPr>
          <w:rFonts w:hint="default" w:ascii="Times New Roman" w:hAnsi="Times New Roman" w:eastAsia="方正仿宋_GBK" w:cs="Times New Roman"/>
          <w:sz w:val="32"/>
          <w:szCs w:val="32"/>
          <w:lang w:eastAsia="zh-CN"/>
        </w:rPr>
        <w:t>，强化</w:t>
      </w:r>
      <w:r>
        <w:rPr>
          <w:rFonts w:hint="eastAsia" w:eastAsia="方正仿宋_GBK" w:cs="Times New Roman"/>
          <w:sz w:val="32"/>
          <w:szCs w:val="32"/>
          <w:lang w:eastAsia="zh-CN"/>
        </w:rPr>
        <w:t>政府信息</w:t>
      </w:r>
      <w:r>
        <w:rPr>
          <w:rFonts w:hint="default" w:ascii="Times New Roman" w:hAnsi="Times New Roman" w:eastAsia="方正仿宋_GBK" w:cs="Times New Roman"/>
          <w:sz w:val="32"/>
          <w:szCs w:val="32"/>
          <w:lang w:eastAsia="zh-CN"/>
        </w:rPr>
        <w:t>管理</w:t>
      </w:r>
      <w:r>
        <w:rPr>
          <w:rFonts w:hint="eastAsia" w:eastAsia="方正仿宋_GBK" w:cs="Times New Roman"/>
          <w:sz w:val="32"/>
          <w:szCs w:val="32"/>
          <w:lang w:eastAsia="zh-CN"/>
        </w:rPr>
        <w:t>。</w:t>
      </w:r>
    </w:p>
    <w:p>
      <w:pPr>
        <w:spacing w:line="56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二、主动公开政府信息情况</w:t>
      </w:r>
    </w:p>
    <w:tbl>
      <w:tblPr>
        <w:tblStyle w:val="18"/>
        <w:tblW w:w="8384" w:type="dxa"/>
        <w:jc w:val="center"/>
        <w:tblLayout w:type="autofit"/>
        <w:tblCellMar>
          <w:top w:w="0" w:type="dxa"/>
          <w:left w:w="108" w:type="dxa"/>
          <w:bottom w:w="0" w:type="dxa"/>
          <w:right w:w="108" w:type="dxa"/>
        </w:tblCellMar>
      </w:tblPr>
      <w:tblGrid>
        <w:gridCol w:w="3113"/>
        <w:gridCol w:w="1875"/>
        <w:gridCol w:w="6"/>
        <w:gridCol w:w="1509"/>
        <w:gridCol w:w="1881"/>
      </w:tblGrid>
      <w:tr>
        <w:tblPrEx>
          <w:tblCellMar>
            <w:top w:w="0" w:type="dxa"/>
            <w:left w:w="108" w:type="dxa"/>
            <w:bottom w:w="0" w:type="dxa"/>
            <w:right w:w="108" w:type="dxa"/>
          </w:tblCellMar>
        </w:tblPrEx>
        <w:trPr>
          <w:trHeight w:val="495" w:hRule="atLeast"/>
          <w:jc w:val="center"/>
        </w:trPr>
        <w:tc>
          <w:tcPr>
            <w:tcW w:w="8384"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000000"/>
                <w:kern w:val="0"/>
                <w:sz w:val="20"/>
              </w:rPr>
              <w:t>第二十条第（一）项</w:t>
            </w:r>
          </w:p>
        </w:tc>
      </w:tr>
      <w:tr>
        <w:tblPrEx>
          <w:tblCellMar>
            <w:top w:w="0" w:type="dxa"/>
            <w:left w:w="108" w:type="dxa"/>
            <w:bottom w:w="0" w:type="dxa"/>
            <w:right w:w="108" w:type="dxa"/>
          </w:tblCellMar>
        </w:tblPrEx>
        <w:trPr>
          <w:trHeight w:val="882"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000000"/>
                <w:kern w:val="0"/>
                <w:sz w:val="20"/>
              </w:rPr>
              <w:t>信息内容</w:t>
            </w:r>
          </w:p>
        </w:tc>
        <w:tc>
          <w:tcPr>
            <w:tcW w:w="1875" w:type="dxa"/>
            <w:tcBorders>
              <w:top w:val="single" w:color="auto" w:sz="4" w:space="0"/>
              <w:left w:val="nil"/>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000000"/>
                <w:kern w:val="0"/>
                <w:sz w:val="20"/>
              </w:rPr>
              <w:t>本年新</w:t>
            </w:r>
            <w:r>
              <w:rPr>
                <w:rFonts w:hint="default" w:ascii="Times New Roman" w:hAnsi="Times New Roman" w:eastAsia="宋体" w:cs="Times New Roman"/>
                <w:color w:val="000000"/>
                <w:kern w:val="0"/>
                <w:sz w:val="20"/>
              </w:rPr>
              <w:br w:type="textWrapping"/>
            </w:r>
            <w:r>
              <w:rPr>
                <w:rFonts w:hint="default" w:ascii="Times New Roman" w:hAnsi="Times New Roman" w:eastAsia="宋体" w:cs="Times New Roman"/>
                <w:color w:val="333333"/>
                <w:kern w:val="0"/>
                <w:sz w:val="20"/>
              </w:rPr>
              <w:t>制作数量</w:t>
            </w:r>
          </w:p>
        </w:tc>
        <w:tc>
          <w:tcPr>
            <w:tcW w:w="1515"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000000"/>
                <w:kern w:val="0"/>
                <w:sz w:val="20"/>
              </w:rPr>
              <w:t>本年新</w:t>
            </w:r>
            <w:r>
              <w:rPr>
                <w:rFonts w:hint="default" w:ascii="Times New Roman" w:hAnsi="Times New Roman" w:eastAsia="宋体" w:cs="Times New Roman"/>
                <w:color w:val="000000"/>
                <w:kern w:val="0"/>
                <w:sz w:val="20"/>
              </w:rPr>
              <w:br w:type="textWrapping"/>
            </w:r>
            <w:r>
              <w:rPr>
                <w:rFonts w:hint="default" w:ascii="Times New Roman" w:hAnsi="Times New Roman" w:eastAsia="宋体" w:cs="Times New Roman"/>
                <w:color w:val="333333"/>
                <w:kern w:val="0"/>
                <w:sz w:val="20"/>
              </w:rPr>
              <w:t>公开数量</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000000"/>
                <w:kern w:val="0"/>
                <w:sz w:val="20"/>
              </w:rPr>
              <w:t>对外公开总数量</w:t>
            </w:r>
          </w:p>
        </w:tc>
      </w:tr>
      <w:tr>
        <w:tblPrEx>
          <w:tblCellMar>
            <w:top w:w="0" w:type="dxa"/>
            <w:left w:w="108" w:type="dxa"/>
            <w:bottom w:w="0" w:type="dxa"/>
            <w:right w:w="108" w:type="dxa"/>
          </w:tblCellMar>
        </w:tblPrEx>
        <w:trPr>
          <w:trHeight w:val="90"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规章</w:t>
            </w:r>
          </w:p>
        </w:tc>
        <w:tc>
          <w:tcPr>
            <w:tcW w:w="1875" w:type="dxa"/>
            <w:tcBorders>
              <w:top w:val="single" w:color="auto" w:sz="4" w:space="0"/>
              <w:left w:val="nil"/>
              <w:bottom w:val="single" w:color="auto" w:sz="4" w:space="0"/>
              <w:right w:val="single" w:color="auto" w:sz="4" w:space="0"/>
            </w:tcBorders>
            <w:noWrap/>
            <w:vAlign w:val="center"/>
          </w:tcPr>
          <w:p>
            <w:pPr>
              <w:widowControl/>
              <w:spacing w:before="100" w:beforeAutospacing="1" w:after="180"/>
              <w:jc w:val="center"/>
              <w:rPr>
                <w:rFonts w:hint="eastAsia"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0</w:t>
            </w:r>
          </w:p>
        </w:tc>
        <w:tc>
          <w:tcPr>
            <w:tcW w:w="1515"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0</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rPr>
            </w:pPr>
            <w:r>
              <w:rPr>
                <w:rFonts w:hint="eastAsia" w:eastAsia="宋体" w:cs="Times New Roman"/>
                <w:color w:val="000000"/>
                <w:kern w:val="0"/>
                <w:sz w:val="20"/>
                <w:lang w:val="en-US" w:eastAsia="zh-CN"/>
              </w:rPr>
              <w:t>0</w:t>
            </w:r>
          </w:p>
        </w:tc>
      </w:tr>
      <w:tr>
        <w:tblPrEx>
          <w:tblCellMar>
            <w:top w:w="0" w:type="dxa"/>
            <w:left w:w="108" w:type="dxa"/>
            <w:bottom w:w="0" w:type="dxa"/>
            <w:right w:w="108" w:type="dxa"/>
          </w:tblCellMar>
        </w:tblPrEx>
        <w:trPr>
          <w:trHeight w:val="471"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规范性文件</w:t>
            </w:r>
          </w:p>
        </w:tc>
        <w:tc>
          <w:tcPr>
            <w:tcW w:w="1875" w:type="dxa"/>
            <w:tcBorders>
              <w:top w:val="nil"/>
              <w:left w:val="nil"/>
              <w:bottom w:val="single" w:color="auto" w:sz="4" w:space="0"/>
              <w:right w:val="single" w:color="auto" w:sz="4" w:space="0"/>
            </w:tcBorders>
            <w:noWrap/>
            <w:vAlign w:val="center"/>
          </w:tcPr>
          <w:p>
            <w:pPr>
              <w:widowControl/>
              <w:spacing w:before="100" w:beforeAutospacing="1" w:after="180"/>
              <w:jc w:val="center"/>
              <w:rPr>
                <w:rFonts w:hint="eastAsia"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1</w:t>
            </w:r>
          </w:p>
        </w:tc>
        <w:tc>
          <w:tcPr>
            <w:tcW w:w="1515" w:type="dxa"/>
            <w:gridSpan w:val="2"/>
            <w:tcBorders>
              <w:top w:val="nil"/>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1</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rPr>
            </w:pPr>
            <w:r>
              <w:rPr>
                <w:rFonts w:hint="eastAsia" w:eastAsia="宋体" w:cs="Times New Roman"/>
                <w:color w:val="000000"/>
                <w:kern w:val="0"/>
                <w:sz w:val="20"/>
                <w:lang w:val="en-US" w:eastAsia="zh-CN"/>
              </w:rPr>
              <w:t>1</w:t>
            </w:r>
          </w:p>
        </w:tc>
      </w:tr>
      <w:tr>
        <w:tblPrEx>
          <w:tblCellMar>
            <w:top w:w="0" w:type="dxa"/>
            <w:left w:w="108" w:type="dxa"/>
            <w:bottom w:w="0" w:type="dxa"/>
            <w:right w:w="108" w:type="dxa"/>
          </w:tblCellMar>
        </w:tblPrEx>
        <w:trPr>
          <w:trHeight w:val="480" w:hRule="atLeast"/>
          <w:jc w:val="center"/>
        </w:trPr>
        <w:tc>
          <w:tcPr>
            <w:tcW w:w="8384"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000000"/>
                <w:kern w:val="0"/>
                <w:sz w:val="20"/>
              </w:rPr>
              <w:t>第二十条第（五）项</w:t>
            </w:r>
          </w:p>
        </w:tc>
      </w:tr>
      <w:tr>
        <w:tblPrEx>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信息内容</w:t>
            </w:r>
          </w:p>
        </w:tc>
        <w:tc>
          <w:tcPr>
            <w:tcW w:w="1875" w:type="dxa"/>
            <w:tcBorders>
              <w:top w:val="single" w:color="auto" w:sz="4" w:space="0"/>
              <w:left w:val="nil"/>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上一年项目数量</w:t>
            </w:r>
          </w:p>
        </w:tc>
        <w:tc>
          <w:tcPr>
            <w:tcW w:w="1515"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本年增/减</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处理决定数量</w:t>
            </w:r>
          </w:p>
        </w:tc>
      </w:tr>
      <w:tr>
        <w:tblPrEx>
          <w:tblCellMar>
            <w:top w:w="0" w:type="dxa"/>
            <w:left w:w="108" w:type="dxa"/>
            <w:bottom w:w="0" w:type="dxa"/>
            <w:right w:w="108" w:type="dxa"/>
          </w:tblCellMar>
        </w:tblPrEx>
        <w:trPr>
          <w:trHeight w:val="528"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行政许可</w:t>
            </w:r>
          </w:p>
        </w:tc>
        <w:tc>
          <w:tcPr>
            <w:tcW w:w="1881" w:type="dxa"/>
            <w:gridSpan w:val="2"/>
            <w:tcBorders>
              <w:top w:val="nil"/>
              <w:left w:val="nil"/>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lang w:val="en-US"/>
              </w:rPr>
            </w:pPr>
            <w:r>
              <w:rPr>
                <w:rFonts w:hint="eastAsia" w:eastAsia="宋体" w:cs="Times New Roman"/>
                <w:color w:val="000000"/>
                <w:kern w:val="0"/>
                <w:sz w:val="20"/>
                <w:lang w:val="en-US" w:eastAsia="zh-CN"/>
              </w:rPr>
              <w:t>122</w:t>
            </w:r>
          </w:p>
        </w:tc>
        <w:tc>
          <w:tcPr>
            <w:tcW w:w="1509" w:type="dxa"/>
            <w:tcBorders>
              <w:top w:val="nil"/>
              <w:left w:val="nil"/>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0</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23230</w:t>
            </w:r>
          </w:p>
        </w:tc>
      </w:tr>
      <w:tr>
        <w:tblPrEx>
          <w:tblCellMar>
            <w:top w:w="0" w:type="dxa"/>
            <w:left w:w="108" w:type="dxa"/>
            <w:bottom w:w="0" w:type="dxa"/>
            <w:right w:w="108" w:type="dxa"/>
          </w:tblCellMar>
        </w:tblPrEx>
        <w:trPr>
          <w:trHeight w:val="550"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其他对外管理服务事项</w:t>
            </w:r>
          </w:p>
        </w:tc>
        <w:tc>
          <w:tcPr>
            <w:tcW w:w="1881" w:type="dxa"/>
            <w:gridSpan w:val="2"/>
            <w:tcBorders>
              <w:top w:val="nil"/>
              <w:left w:val="nil"/>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lang w:val="en-US"/>
              </w:rPr>
            </w:pPr>
            <w:r>
              <w:rPr>
                <w:rFonts w:hint="eastAsia" w:eastAsia="宋体" w:cs="Times New Roman"/>
                <w:color w:val="000000"/>
                <w:kern w:val="0"/>
                <w:sz w:val="20"/>
                <w:lang w:val="en-US" w:eastAsia="zh-CN"/>
              </w:rPr>
              <w:t>174</w:t>
            </w:r>
          </w:p>
        </w:tc>
        <w:tc>
          <w:tcPr>
            <w:tcW w:w="1509" w:type="dxa"/>
            <w:tcBorders>
              <w:top w:val="nil"/>
              <w:left w:val="nil"/>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lang w:val="en-US"/>
              </w:rPr>
            </w:pPr>
            <w:r>
              <w:rPr>
                <w:rFonts w:hint="eastAsia" w:eastAsia="宋体" w:cs="Times New Roman"/>
                <w:color w:val="000000"/>
                <w:kern w:val="0"/>
                <w:sz w:val="20"/>
                <w:lang w:val="en-US" w:eastAsia="zh-CN"/>
              </w:rPr>
              <w:t>0</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17209</w:t>
            </w:r>
          </w:p>
        </w:tc>
      </w:tr>
      <w:tr>
        <w:tblPrEx>
          <w:tblCellMar>
            <w:top w:w="0" w:type="dxa"/>
            <w:left w:w="108" w:type="dxa"/>
            <w:bottom w:w="0" w:type="dxa"/>
            <w:right w:w="108" w:type="dxa"/>
          </w:tblCellMar>
        </w:tblPrEx>
        <w:trPr>
          <w:trHeight w:val="406" w:hRule="atLeast"/>
          <w:jc w:val="center"/>
        </w:trPr>
        <w:tc>
          <w:tcPr>
            <w:tcW w:w="8384"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before="100" w:beforeAutospacing="1" w:after="180"/>
              <w:jc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第二十条第（六）项</w:t>
            </w:r>
          </w:p>
        </w:tc>
      </w:tr>
      <w:tr>
        <w:tblPrEx>
          <w:tblCellMar>
            <w:top w:w="0" w:type="dxa"/>
            <w:left w:w="108" w:type="dxa"/>
            <w:bottom w:w="0" w:type="dxa"/>
            <w:right w:w="108" w:type="dxa"/>
          </w:tblCellMar>
        </w:tblPrEx>
        <w:trPr>
          <w:trHeight w:val="634"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信息内容</w:t>
            </w:r>
          </w:p>
        </w:tc>
        <w:tc>
          <w:tcPr>
            <w:tcW w:w="1875" w:type="dxa"/>
            <w:tcBorders>
              <w:top w:val="single" w:color="auto" w:sz="4" w:space="0"/>
              <w:left w:val="nil"/>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上一年项目数量</w:t>
            </w:r>
          </w:p>
        </w:tc>
        <w:tc>
          <w:tcPr>
            <w:tcW w:w="1515"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本年增/减</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处理决定数量</w:t>
            </w:r>
          </w:p>
        </w:tc>
      </w:tr>
      <w:tr>
        <w:tblPrEx>
          <w:tblCellMar>
            <w:top w:w="0" w:type="dxa"/>
            <w:left w:w="108" w:type="dxa"/>
            <w:bottom w:w="0" w:type="dxa"/>
            <w:right w:w="108" w:type="dxa"/>
          </w:tblCellMar>
        </w:tblPrEx>
        <w:trPr>
          <w:trHeight w:val="430"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行政处罚</w:t>
            </w:r>
          </w:p>
        </w:tc>
        <w:tc>
          <w:tcPr>
            <w:tcW w:w="1881" w:type="dxa"/>
            <w:gridSpan w:val="2"/>
            <w:tcBorders>
              <w:top w:val="single" w:color="auto" w:sz="4" w:space="0"/>
              <w:left w:val="nil"/>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3198</w:t>
            </w:r>
          </w:p>
        </w:tc>
        <w:tc>
          <w:tcPr>
            <w:tcW w:w="1509" w:type="dxa"/>
            <w:tcBorders>
              <w:top w:val="single" w:color="auto" w:sz="4" w:space="0"/>
              <w:left w:val="nil"/>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lang w:val="en-US"/>
              </w:rPr>
            </w:pPr>
            <w:r>
              <w:rPr>
                <w:rFonts w:hint="eastAsia" w:eastAsia="宋体" w:cs="Times New Roman"/>
                <w:color w:val="000000"/>
                <w:kern w:val="0"/>
                <w:sz w:val="20"/>
                <w:lang w:val="en-US" w:eastAsia="zh-CN"/>
              </w:rPr>
              <w:t>178</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lang w:val="en-US"/>
              </w:rPr>
            </w:pPr>
            <w:r>
              <w:rPr>
                <w:rFonts w:hint="eastAsia" w:eastAsia="宋体" w:cs="Times New Roman"/>
                <w:color w:val="000000"/>
                <w:kern w:val="0"/>
                <w:sz w:val="20"/>
                <w:lang w:val="en-US" w:eastAsia="zh-CN"/>
              </w:rPr>
              <w:t>655</w:t>
            </w:r>
          </w:p>
        </w:tc>
      </w:tr>
      <w:tr>
        <w:tblPrEx>
          <w:tblCellMar>
            <w:top w:w="0" w:type="dxa"/>
            <w:left w:w="108" w:type="dxa"/>
            <w:bottom w:w="0" w:type="dxa"/>
            <w:right w:w="108" w:type="dxa"/>
          </w:tblCellMar>
        </w:tblPrEx>
        <w:trPr>
          <w:trHeight w:val="409"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行政强制</w:t>
            </w:r>
          </w:p>
        </w:tc>
        <w:tc>
          <w:tcPr>
            <w:tcW w:w="1881" w:type="dxa"/>
            <w:gridSpan w:val="2"/>
            <w:tcBorders>
              <w:top w:val="nil"/>
              <w:left w:val="nil"/>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327</w:t>
            </w:r>
          </w:p>
        </w:tc>
        <w:tc>
          <w:tcPr>
            <w:tcW w:w="1509" w:type="dxa"/>
            <w:tcBorders>
              <w:top w:val="nil"/>
              <w:left w:val="nil"/>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rPr>
            </w:pPr>
            <w:r>
              <w:rPr>
                <w:rFonts w:hint="eastAsia" w:eastAsia="宋体" w:cs="Times New Roman"/>
                <w:color w:val="000000"/>
                <w:kern w:val="0"/>
                <w:sz w:val="20"/>
                <w:lang w:val="en-US" w:eastAsia="zh-CN"/>
              </w:rPr>
              <w:t>55</w:t>
            </w:r>
          </w:p>
        </w:tc>
        <w:tc>
          <w:tcPr>
            <w:tcW w:w="1881" w:type="dxa"/>
            <w:tcBorders>
              <w:top w:val="nil"/>
              <w:left w:val="nil"/>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382</w:t>
            </w:r>
          </w:p>
        </w:tc>
      </w:tr>
      <w:tr>
        <w:tblPrEx>
          <w:tblCellMar>
            <w:top w:w="0" w:type="dxa"/>
            <w:left w:w="108" w:type="dxa"/>
            <w:bottom w:w="0" w:type="dxa"/>
            <w:right w:w="108" w:type="dxa"/>
          </w:tblCellMar>
        </w:tblPrEx>
        <w:trPr>
          <w:trHeight w:val="474" w:hRule="atLeast"/>
          <w:jc w:val="center"/>
        </w:trPr>
        <w:tc>
          <w:tcPr>
            <w:tcW w:w="8384"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before="100" w:beforeAutospacing="1" w:after="180"/>
              <w:jc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第二十条第（八）项</w:t>
            </w:r>
          </w:p>
        </w:tc>
      </w:tr>
      <w:tr>
        <w:tblPrEx>
          <w:tblCellMar>
            <w:top w:w="0" w:type="dxa"/>
            <w:left w:w="108" w:type="dxa"/>
            <w:bottom w:w="0" w:type="dxa"/>
            <w:right w:w="108" w:type="dxa"/>
          </w:tblCellMar>
        </w:tblPrEx>
        <w:trPr>
          <w:trHeight w:val="270"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信息内容</w:t>
            </w:r>
          </w:p>
        </w:tc>
        <w:tc>
          <w:tcPr>
            <w:tcW w:w="1881" w:type="dxa"/>
            <w:gridSpan w:val="2"/>
            <w:tcBorders>
              <w:top w:val="nil"/>
              <w:left w:val="nil"/>
              <w:bottom w:val="single" w:color="auto" w:sz="4" w:space="0"/>
              <w:right w:val="single" w:color="auto" w:sz="4" w:space="0"/>
            </w:tcBorders>
            <w:noWrap/>
            <w:vAlign w:val="center"/>
          </w:tcPr>
          <w:p>
            <w:pPr>
              <w:widowControl/>
              <w:spacing w:before="100" w:beforeAutospacing="1" w:after="180"/>
              <w:ind w:firstLine="200" w:firstLineChars="100"/>
              <w:jc w:val="left"/>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上一年项目数量</w:t>
            </w:r>
          </w:p>
        </w:tc>
        <w:tc>
          <w:tcPr>
            <w:tcW w:w="3390" w:type="dxa"/>
            <w:gridSpan w:val="2"/>
            <w:tcBorders>
              <w:top w:val="single" w:color="auto" w:sz="4" w:space="0"/>
              <w:left w:val="nil"/>
              <w:bottom w:val="single" w:color="auto" w:sz="4" w:space="0"/>
              <w:right w:val="single" w:color="000000"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本年增/减</w:t>
            </w:r>
          </w:p>
        </w:tc>
      </w:tr>
      <w:tr>
        <w:tblPrEx>
          <w:tblCellMar>
            <w:top w:w="0" w:type="dxa"/>
            <w:left w:w="108" w:type="dxa"/>
            <w:bottom w:w="0" w:type="dxa"/>
            <w:right w:w="108" w:type="dxa"/>
          </w:tblCellMar>
        </w:tblPrEx>
        <w:trPr>
          <w:trHeight w:val="551"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行政事业性收费</w:t>
            </w:r>
          </w:p>
        </w:tc>
        <w:tc>
          <w:tcPr>
            <w:tcW w:w="1881" w:type="dxa"/>
            <w:gridSpan w:val="2"/>
            <w:tcBorders>
              <w:top w:val="nil"/>
              <w:left w:val="nil"/>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30</w:t>
            </w:r>
          </w:p>
        </w:tc>
        <w:tc>
          <w:tcPr>
            <w:tcW w:w="3390" w:type="dxa"/>
            <w:gridSpan w:val="2"/>
            <w:tcBorders>
              <w:top w:val="single" w:color="auto" w:sz="4" w:space="0"/>
              <w:left w:val="nil"/>
              <w:bottom w:val="single" w:color="auto" w:sz="4" w:space="0"/>
              <w:right w:val="single" w:color="000000"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rPr>
            </w:pPr>
            <w:r>
              <w:rPr>
                <w:rFonts w:hint="eastAsia" w:eastAsia="宋体" w:cs="Times New Roman"/>
                <w:color w:val="000000"/>
                <w:kern w:val="0"/>
                <w:sz w:val="20"/>
                <w:lang w:val="en-US" w:eastAsia="zh-CN"/>
              </w:rPr>
              <w:t>-8</w:t>
            </w:r>
            <w:r>
              <w:rPr>
                <w:rFonts w:hint="default" w:ascii="Times New Roman" w:hAnsi="Times New Roman" w:eastAsia="宋体" w:cs="Times New Roman"/>
                <w:color w:val="000000"/>
                <w:kern w:val="0"/>
                <w:sz w:val="20"/>
              </w:rPr>
              <w:t> </w:t>
            </w:r>
          </w:p>
        </w:tc>
      </w:tr>
      <w:tr>
        <w:tblPrEx>
          <w:tblCellMar>
            <w:top w:w="0" w:type="dxa"/>
            <w:left w:w="108" w:type="dxa"/>
            <w:bottom w:w="0" w:type="dxa"/>
            <w:right w:w="108" w:type="dxa"/>
          </w:tblCellMar>
        </w:tblPrEx>
        <w:trPr>
          <w:trHeight w:val="476" w:hRule="atLeast"/>
          <w:jc w:val="center"/>
        </w:trPr>
        <w:tc>
          <w:tcPr>
            <w:tcW w:w="8384" w:type="dxa"/>
            <w:gridSpan w:val="5"/>
            <w:tcBorders>
              <w:top w:val="single" w:color="auto" w:sz="4" w:space="0"/>
              <w:left w:val="single" w:color="auto" w:sz="4" w:space="0"/>
              <w:bottom w:val="single" w:color="auto" w:sz="4" w:space="0"/>
              <w:right w:val="single" w:color="auto" w:sz="4" w:space="0"/>
            </w:tcBorders>
            <w:shd w:val="clear" w:color="auto" w:fill="C6D9F1"/>
            <w:noWrap/>
            <w:vAlign w:val="center"/>
          </w:tcPr>
          <w:p>
            <w:pPr>
              <w:widowControl/>
              <w:spacing w:before="100" w:beforeAutospacing="1" w:after="180"/>
              <w:jc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第二十条第（九）项</w:t>
            </w:r>
          </w:p>
        </w:tc>
      </w:tr>
      <w:tr>
        <w:tblPrEx>
          <w:tblCellMar>
            <w:top w:w="0" w:type="dxa"/>
            <w:left w:w="108" w:type="dxa"/>
            <w:bottom w:w="0" w:type="dxa"/>
            <w:right w:w="108" w:type="dxa"/>
          </w:tblCellMar>
        </w:tblPrEx>
        <w:trPr>
          <w:trHeight w:val="585"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信息内容</w:t>
            </w:r>
          </w:p>
        </w:tc>
        <w:tc>
          <w:tcPr>
            <w:tcW w:w="1881" w:type="dxa"/>
            <w:gridSpan w:val="2"/>
            <w:tcBorders>
              <w:top w:val="nil"/>
              <w:left w:val="nil"/>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采购项目数量</w:t>
            </w:r>
          </w:p>
        </w:tc>
        <w:tc>
          <w:tcPr>
            <w:tcW w:w="3390" w:type="dxa"/>
            <w:gridSpan w:val="2"/>
            <w:tcBorders>
              <w:top w:val="single" w:color="auto" w:sz="4" w:space="0"/>
              <w:left w:val="nil"/>
              <w:bottom w:val="single" w:color="auto" w:sz="4" w:space="0"/>
              <w:right w:val="single" w:color="000000"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采购总金额</w:t>
            </w:r>
          </w:p>
        </w:tc>
      </w:tr>
      <w:tr>
        <w:tblPrEx>
          <w:tblCellMar>
            <w:top w:w="0" w:type="dxa"/>
            <w:left w:w="108" w:type="dxa"/>
            <w:bottom w:w="0" w:type="dxa"/>
            <w:right w:w="108" w:type="dxa"/>
          </w:tblCellMar>
        </w:tblPrEx>
        <w:trPr>
          <w:trHeight w:val="539" w:hRule="atLeast"/>
          <w:jc w:val="center"/>
        </w:trPr>
        <w:tc>
          <w:tcPr>
            <w:tcW w:w="3113" w:type="dxa"/>
            <w:tcBorders>
              <w:top w:val="nil"/>
              <w:left w:val="single" w:color="auto" w:sz="4" w:space="0"/>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rPr>
            </w:pPr>
            <w:r>
              <w:rPr>
                <w:rFonts w:hint="default" w:ascii="Times New Roman" w:hAnsi="Times New Roman" w:eastAsia="宋体" w:cs="Times New Roman"/>
                <w:color w:val="000000"/>
                <w:kern w:val="0"/>
                <w:sz w:val="20"/>
              </w:rPr>
              <w:t>政府集中采购</w:t>
            </w:r>
          </w:p>
        </w:tc>
        <w:tc>
          <w:tcPr>
            <w:tcW w:w="1881" w:type="dxa"/>
            <w:gridSpan w:val="2"/>
            <w:tcBorders>
              <w:top w:val="nil"/>
              <w:left w:val="nil"/>
              <w:bottom w:val="single" w:color="auto" w:sz="4" w:space="0"/>
              <w:right w:val="single" w:color="auto"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lang w:val="en-US"/>
              </w:rPr>
            </w:pPr>
            <w:r>
              <w:rPr>
                <w:rFonts w:hint="eastAsia" w:eastAsia="宋体" w:cs="Times New Roman"/>
                <w:color w:val="000000"/>
                <w:kern w:val="0"/>
                <w:sz w:val="20"/>
                <w:lang w:val="en-US" w:eastAsia="zh-CN"/>
              </w:rPr>
              <w:t>952</w:t>
            </w:r>
          </w:p>
        </w:tc>
        <w:tc>
          <w:tcPr>
            <w:tcW w:w="3390" w:type="dxa"/>
            <w:gridSpan w:val="2"/>
            <w:tcBorders>
              <w:top w:val="single" w:color="auto" w:sz="4" w:space="0"/>
              <w:left w:val="nil"/>
              <w:bottom w:val="single" w:color="auto" w:sz="4" w:space="0"/>
              <w:right w:val="single" w:color="000000" w:sz="4" w:space="0"/>
            </w:tcBorders>
            <w:noWrap/>
            <w:vAlign w:val="center"/>
          </w:tcPr>
          <w:p>
            <w:pPr>
              <w:widowControl/>
              <w:spacing w:before="100" w:beforeAutospacing="1" w:after="180"/>
              <w:jc w:val="center"/>
              <w:rPr>
                <w:rFonts w:hint="default" w:ascii="Times New Roman" w:hAnsi="Times New Roman" w:eastAsia="宋体" w:cs="Times New Roman"/>
                <w:color w:val="000000"/>
                <w:kern w:val="0"/>
                <w:sz w:val="20"/>
                <w:lang w:val="en-US" w:eastAsia="zh-CN"/>
              </w:rPr>
            </w:pPr>
            <w:r>
              <w:rPr>
                <w:rFonts w:hint="eastAsia" w:eastAsia="宋体" w:cs="Times New Roman"/>
                <w:color w:val="000000"/>
                <w:kern w:val="0"/>
                <w:sz w:val="20"/>
                <w:lang w:val="en-US" w:eastAsia="zh-CN"/>
              </w:rPr>
              <w:t>42392.18万</w:t>
            </w:r>
          </w:p>
        </w:tc>
      </w:tr>
    </w:tbl>
    <w:p>
      <w:pPr>
        <w:spacing w:line="56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三、收到和处理政府信息公开申请情况</w:t>
      </w:r>
    </w:p>
    <w:tbl>
      <w:tblPr>
        <w:tblStyle w:val="1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6"/>
        <w:gridCol w:w="854"/>
        <w:gridCol w:w="2084"/>
        <w:gridCol w:w="813"/>
        <w:gridCol w:w="755"/>
        <w:gridCol w:w="755"/>
        <w:gridCol w:w="813"/>
        <w:gridCol w:w="974"/>
        <w:gridCol w:w="711"/>
        <w:gridCol w:w="6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4"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（本列数据的勾稽关系为：第一项加第二项之和，等于第三项加第四项之和）</w:t>
            </w:r>
          </w:p>
        </w:tc>
        <w:tc>
          <w:tcPr>
            <w:tcW w:w="5517" w:type="dxa"/>
            <w:gridSpan w:val="7"/>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813" w:type="dxa"/>
            <w:vMerge w:val="restart"/>
            <w:tcBorders>
              <w:top w:val="nil"/>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自然人</w:t>
            </w:r>
          </w:p>
        </w:tc>
        <w:tc>
          <w:tcPr>
            <w:tcW w:w="4008" w:type="dxa"/>
            <w:gridSpan w:val="5"/>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法人或其他组织</w:t>
            </w:r>
          </w:p>
        </w:tc>
        <w:tc>
          <w:tcPr>
            <w:tcW w:w="696" w:type="dxa"/>
            <w:vMerge w:val="restart"/>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gridSpan w:val="3"/>
            <w:vMerge w:val="continue"/>
            <w:tcBorders>
              <w:top w:val="single" w:color="auto" w:sz="4" w:space="0"/>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813" w:type="dxa"/>
            <w:vMerge w:val="continue"/>
            <w:tcBorders>
              <w:top w:val="nil"/>
              <w:left w:val="nil"/>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商业企业</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科研机构</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社会公益组织</w:t>
            </w:r>
          </w:p>
        </w:tc>
        <w:tc>
          <w:tcPr>
            <w:tcW w:w="97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法律服务机构</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其他</w:t>
            </w:r>
          </w:p>
        </w:tc>
        <w:tc>
          <w:tcPr>
            <w:tcW w:w="0" w:type="auto"/>
            <w:vMerge w:val="continue"/>
            <w:tcBorders>
              <w:top w:val="single" w:color="auto" w:sz="4" w:space="0"/>
              <w:left w:val="nil"/>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4"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sz w:val="20"/>
              </w:rPr>
            </w:pPr>
            <w:r>
              <w:rPr>
                <w:rFonts w:hint="default" w:ascii="Times New Roman" w:hAnsi="Times New Roman" w:eastAsia="宋体" w:cs="Times New Roman"/>
                <w:color w:val="333333"/>
                <w:sz w:val="20"/>
              </w:rPr>
              <w:t>一、本年新收政府信息公开申请数量</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sz w:val="20"/>
                <w:lang w:val="en-US" w:eastAsia="zh-CN"/>
              </w:rPr>
            </w:pPr>
            <w:r>
              <w:rPr>
                <w:rFonts w:hint="eastAsia" w:eastAsia="宋体" w:cs="Times New Roman"/>
                <w:color w:val="333333"/>
                <w:sz w:val="20"/>
                <w:lang w:val="en-US" w:eastAsia="zh-CN"/>
              </w:rPr>
              <w:t>140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sz w:val="20"/>
              </w:rPr>
            </w:pPr>
            <w:r>
              <w:rPr>
                <w:rFonts w:hint="eastAsia" w:eastAsia="宋体" w:cs="Times New Roman"/>
                <w:color w:val="333333"/>
                <w:sz w:val="20"/>
                <w:lang w:val="en-US" w:eastAsia="zh-CN"/>
              </w:rPr>
              <w:t>2</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宋体" w:cs="Times New Roman"/>
                <w:color w:val="333333"/>
                <w:sz w:val="20"/>
                <w:lang w:val="en-US" w:eastAsia="zh-CN"/>
              </w:rPr>
            </w:pPr>
            <w:r>
              <w:rPr>
                <w:rFonts w:hint="eastAsia" w:eastAsia="宋体" w:cs="Times New Roman"/>
                <w:color w:val="333333"/>
                <w:sz w:val="20"/>
                <w:lang w:val="en-US" w:eastAsia="zh-CN"/>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sz w:val="20"/>
              </w:rPr>
            </w:pPr>
            <w:r>
              <w:rPr>
                <w:rFonts w:hint="eastAsia" w:eastAsia="宋体" w:cs="Times New Roman"/>
                <w:color w:val="333333"/>
                <w:sz w:val="20"/>
                <w:lang w:val="en-US" w:eastAsia="zh-CN"/>
              </w:rPr>
              <w:t>0</w:t>
            </w:r>
          </w:p>
        </w:tc>
        <w:tc>
          <w:tcPr>
            <w:tcW w:w="97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宋体" w:cs="Times New Roman"/>
                <w:color w:val="333333"/>
                <w:sz w:val="20"/>
                <w:lang w:val="en-US" w:eastAsia="zh-CN"/>
              </w:rPr>
            </w:pPr>
            <w:r>
              <w:rPr>
                <w:rFonts w:hint="eastAsia" w:eastAsia="宋体" w:cs="Times New Roman"/>
                <w:color w:val="333333"/>
                <w:sz w:val="20"/>
                <w:lang w:val="en-US" w:eastAsia="zh-CN"/>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sz w:val="20"/>
              </w:rPr>
            </w:pPr>
            <w:r>
              <w:rPr>
                <w:rFonts w:hint="eastAsia" w:eastAsia="宋体" w:cs="Times New Roman"/>
                <w:color w:val="333333"/>
                <w:sz w:val="20"/>
                <w:lang w:val="en-US" w:eastAsia="zh-CN"/>
              </w:rPr>
              <w:t>0</w:t>
            </w:r>
          </w:p>
        </w:tc>
        <w:tc>
          <w:tcPr>
            <w:tcW w:w="696"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sz w:val="20"/>
                <w:lang w:val="en-US" w:eastAsia="zh-CN"/>
              </w:rPr>
            </w:pPr>
            <w:r>
              <w:rPr>
                <w:rFonts w:hint="eastAsia" w:eastAsia="宋体" w:cs="Times New Roman"/>
                <w:color w:val="333333"/>
                <w:sz w:val="20"/>
                <w:lang w:val="en-US" w:eastAsia="zh-CN"/>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4"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sz w:val="20"/>
              </w:rPr>
            </w:pPr>
            <w:r>
              <w:rPr>
                <w:rFonts w:hint="default" w:ascii="Times New Roman" w:hAnsi="Times New Roman" w:eastAsia="宋体" w:cs="Times New Roman"/>
                <w:color w:val="333333"/>
                <w:sz w:val="20"/>
              </w:rPr>
              <w:t>二、上年结转政府信息公开申请数量</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宋体" w:cs="Times New Roman"/>
                <w:color w:val="333333"/>
                <w:sz w:val="20"/>
                <w:lang w:val="en-US" w:eastAsia="zh-CN"/>
              </w:rPr>
            </w:pPr>
            <w:r>
              <w:rPr>
                <w:rFonts w:hint="eastAsia" w:eastAsia="宋体" w:cs="Times New Roman"/>
                <w:color w:val="333333"/>
                <w:sz w:val="20"/>
                <w:lang w:val="en-US" w:eastAsia="zh-CN"/>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sz w:val="20"/>
              </w:rPr>
            </w:pPr>
            <w:r>
              <w:rPr>
                <w:rFonts w:hint="eastAsia" w:eastAsia="宋体" w:cs="Times New Roman"/>
                <w:color w:val="333333"/>
                <w:sz w:val="20"/>
                <w:lang w:val="en-US" w:eastAsia="zh-CN"/>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宋体" w:cs="Times New Roman"/>
                <w:color w:val="333333"/>
                <w:sz w:val="20"/>
                <w:lang w:val="en-US" w:eastAsia="zh-CN"/>
              </w:rPr>
            </w:pPr>
            <w:r>
              <w:rPr>
                <w:rFonts w:hint="eastAsia" w:eastAsia="宋体" w:cs="Times New Roman"/>
                <w:color w:val="333333"/>
                <w:sz w:val="20"/>
                <w:lang w:val="en-US" w:eastAsia="zh-CN"/>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宋体" w:cs="Times New Roman"/>
                <w:color w:val="333333"/>
                <w:sz w:val="20"/>
                <w:lang w:val="en-US" w:eastAsia="zh-CN"/>
              </w:rPr>
            </w:pPr>
            <w:r>
              <w:rPr>
                <w:rFonts w:hint="eastAsia" w:eastAsia="宋体" w:cs="Times New Roman"/>
                <w:color w:val="333333"/>
                <w:sz w:val="20"/>
                <w:lang w:val="en-US" w:eastAsia="zh-CN"/>
              </w:rPr>
              <w:t>0</w:t>
            </w:r>
          </w:p>
        </w:tc>
        <w:tc>
          <w:tcPr>
            <w:tcW w:w="97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sz w:val="20"/>
              </w:rPr>
            </w:pPr>
            <w:r>
              <w:rPr>
                <w:rFonts w:hint="eastAsia" w:eastAsia="宋体" w:cs="Times New Roman"/>
                <w:color w:val="333333"/>
                <w:sz w:val="20"/>
                <w:lang w:val="en-US" w:eastAsia="zh-CN"/>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sz w:val="20"/>
              </w:rPr>
            </w:pPr>
            <w:r>
              <w:rPr>
                <w:rFonts w:hint="eastAsia" w:eastAsia="宋体" w:cs="Times New Roman"/>
                <w:color w:val="333333"/>
                <w:sz w:val="20"/>
                <w:lang w:val="en-US" w:eastAsia="zh-CN"/>
              </w:rPr>
              <w:t>0</w:t>
            </w:r>
          </w:p>
        </w:tc>
        <w:tc>
          <w:tcPr>
            <w:tcW w:w="696"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sz w:val="20"/>
              </w:rPr>
            </w:pPr>
            <w:r>
              <w:rPr>
                <w:rFonts w:hint="eastAsia" w:eastAsia="宋体" w:cs="Times New Roman"/>
                <w:color w:val="333333"/>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16"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sz w:val="20"/>
              </w:rPr>
            </w:pPr>
            <w:r>
              <w:rPr>
                <w:rFonts w:hint="default" w:ascii="Times New Roman" w:hAnsi="Times New Roman" w:eastAsia="宋体" w:cs="Times New Roman"/>
                <w:color w:val="333333"/>
                <w:sz w:val="20"/>
              </w:rPr>
              <w:t>三、本年度办理结果</w:t>
            </w:r>
          </w:p>
        </w:tc>
        <w:tc>
          <w:tcPr>
            <w:tcW w:w="2938"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80"/>
              <w:rPr>
                <w:rFonts w:hint="default" w:ascii="Times New Roman" w:hAnsi="Times New Roman" w:eastAsia="方正楷体简体" w:cs="Times New Roman"/>
                <w:color w:val="333333"/>
                <w:sz w:val="20"/>
              </w:rPr>
            </w:pPr>
            <w:r>
              <w:rPr>
                <w:rFonts w:hint="default" w:ascii="Times New Roman" w:hAnsi="Times New Roman" w:eastAsia="方正楷体简体" w:cs="Times New Roman"/>
                <w:color w:val="333333"/>
                <w:sz w:val="20"/>
              </w:rPr>
              <w:t>（一）予以公开</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sz w:val="20"/>
              </w:rPr>
            </w:pPr>
            <w:r>
              <w:rPr>
                <w:rFonts w:hint="eastAsia" w:eastAsia="宋体" w:cs="Times New Roman"/>
                <w:color w:val="333333"/>
                <w:sz w:val="20"/>
                <w:lang w:val="en-US" w:eastAsia="zh-CN"/>
              </w:rPr>
              <w:t>48</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sz w:val="20"/>
              </w:rPr>
            </w:pPr>
            <w:r>
              <w:rPr>
                <w:rFonts w:hint="eastAsia" w:eastAsia="宋体" w:cs="Times New Roman"/>
                <w:color w:val="333333"/>
                <w:sz w:val="20"/>
                <w:lang w:val="en-US" w:eastAsia="zh-CN"/>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宋体" w:cs="Times New Roman"/>
                <w:color w:val="333333"/>
                <w:sz w:val="20"/>
                <w:lang w:val="en-US" w:eastAsia="zh-CN"/>
              </w:rPr>
            </w:pPr>
            <w:r>
              <w:rPr>
                <w:rFonts w:hint="eastAsia" w:eastAsia="宋体" w:cs="Times New Roman"/>
                <w:color w:val="333333"/>
                <w:sz w:val="20"/>
                <w:lang w:val="en-US" w:eastAsia="zh-CN"/>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宋体" w:cs="Times New Roman"/>
                <w:color w:val="333333"/>
                <w:sz w:val="20"/>
                <w:lang w:val="en-US" w:eastAsia="zh-CN"/>
              </w:rPr>
            </w:pPr>
            <w:r>
              <w:rPr>
                <w:rFonts w:hint="eastAsia" w:eastAsia="宋体" w:cs="Times New Roman"/>
                <w:color w:val="333333"/>
                <w:sz w:val="20"/>
                <w:lang w:val="en-US" w:eastAsia="zh-CN"/>
              </w:rPr>
              <w:t>0</w:t>
            </w:r>
          </w:p>
        </w:tc>
        <w:tc>
          <w:tcPr>
            <w:tcW w:w="97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宋体" w:cs="Times New Roman"/>
                <w:color w:val="333333"/>
                <w:sz w:val="20"/>
                <w:lang w:val="en-US" w:eastAsia="zh-CN"/>
              </w:rPr>
            </w:pPr>
            <w:r>
              <w:rPr>
                <w:rFonts w:hint="eastAsia" w:eastAsia="宋体" w:cs="Times New Roman"/>
                <w:color w:val="333333"/>
                <w:sz w:val="20"/>
                <w:lang w:val="en-US" w:eastAsia="zh-CN"/>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sz w:val="20"/>
              </w:rPr>
            </w:pPr>
            <w:r>
              <w:rPr>
                <w:rFonts w:hint="eastAsia" w:eastAsia="宋体" w:cs="Times New Roman"/>
                <w:color w:val="333333"/>
                <w:sz w:val="20"/>
                <w:lang w:val="en-US" w:eastAsia="zh-CN"/>
              </w:rPr>
              <w:t>0</w:t>
            </w:r>
          </w:p>
        </w:tc>
        <w:tc>
          <w:tcPr>
            <w:tcW w:w="696"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sz w:val="20"/>
                <w:lang w:val="en-US"/>
              </w:rPr>
            </w:pPr>
            <w:r>
              <w:rPr>
                <w:rFonts w:hint="eastAsia" w:eastAsia="宋体" w:cs="Times New Roman"/>
                <w:color w:val="333333"/>
                <w:sz w:val="20"/>
                <w:lang w:val="en-US" w:eastAsia="zh-CN"/>
              </w:rPr>
              <w:t>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2938"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80"/>
              <w:rPr>
                <w:rFonts w:hint="default" w:ascii="Times New Roman" w:hAnsi="Times New Roman" w:eastAsia="方正楷体简体" w:cs="Times New Roman"/>
                <w:color w:val="333333"/>
                <w:sz w:val="20"/>
              </w:rPr>
            </w:pPr>
            <w:r>
              <w:rPr>
                <w:rFonts w:hint="default" w:ascii="Times New Roman" w:hAnsi="Times New Roman" w:eastAsia="方正楷体简体" w:cs="Times New Roman"/>
                <w:color w:val="333333"/>
                <w:sz w:val="20"/>
              </w:rPr>
              <w:t>（二）部分公开（区分处理的，只计这一情形，不计其他情形）</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sz w:val="20"/>
                <w:lang w:val="en-US" w:eastAsia="zh-CN"/>
              </w:rPr>
            </w:pPr>
            <w:r>
              <w:rPr>
                <w:rFonts w:hint="eastAsia" w:eastAsia="宋体" w:cs="Times New Roman"/>
                <w:color w:val="333333"/>
                <w:sz w:val="20"/>
                <w:lang w:val="en-US" w:eastAsia="zh-CN"/>
              </w:rPr>
              <w:t>17</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sz w:val="20"/>
              </w:rPr>
            </w:pPr>
            <w:r>
              <w:rPr>
                <w:rFonts w:hint="eastAsia" w:eastAsia="宋体" w:cs="Times New Roman"/>
                <w:color w:val="333333"/>
                <w:sz w:val="20"/>
                <w:lang w:val="en-US" w:eastAsia="zh-CN"/>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宋体" w:cs="Times New Roman"/>
                <w:color w:val="333333"/>
                <w:sz w:val="20"/>
                <w:lang w:val="en-US" w:eastAsia="zh-CN"/>
              </w:rPr>
            </w:pPr>
            <w:r>
              <w:rPr>
                <w:rFonts w:hint="eastAsia" w:eastAsia="宋体" w:cs="Times New Roman"/>
                <w:color w:val="333333"/>
                <w:sz w:val="20"/>
                <w:lang w:val="en-US" w:eastAsia="zh-CN"/>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宋体" w:cs="Times New Roman"/>
                <w:color w:val="333333"/>
                <w:sz w:val="20"/>
                <w:lang w:val="en-US" w:eastAsia="zh-CN"/>
              </w:rPr>
            </w:pPr>
            <w:r>
              <w:rPr>
                <w:rFonts w:hint="eastAsia" w:eastAsia="宋体" w:cs="Times New Roman"/>
                <w:color w:val="333333"/>
                <w:sz w:val="20"/>
                <w:lang w:val="en-US" w:eastAsia="zh-CN"/>
              </w:rPr>
              <w:t>0</w:t>
            </w:r>
          </w:p>
        </w:tc>
        <w:tc>
          <w:tcPr>
            <w:tcW w:w="97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宋体" w:cs="Times New Roman"/>
                <w:color w:val="333333"/>
                <w:sz w:val="20"/>
                <w:lang w:val="en-US" w:eastAsia="zh-CN"/>
              </w:rPr>
            </w:pPr>
            <w:r>
              <w:rPr>
                <w:rFonts w:hint="eastAsia" w:eastAsia="宋体" w:cs="Times New Roman"/>
                <w:color w:val="333333"/>
                <w:sz w:val="20"/>
                <w:lang w:val="en-US" w:eastAsia="zh-CN"/>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宋体" w:cs="Times New Roman"/>
                <w:color w:val="333333"/>
                <w:sz w:val="20"/>
                <w:lang w:val="en-US" w:eastAsia="zh-CN"/>
              </w:rPr>
            </w:pPr>
            <w:r>
              <w:rPr>
                <w:rFonts w:hint="eastAsia" w:eastAsia="宋体" w:cs="Times New Roman"/>
                <w:color w:val="333333"/>
                <w:sz w:val="20"/>
                <w:lang w:val="en-US" w:eastAsia="zh-CN"/>
              </w:rPr>
              <w:t>0</w:t>
            </w:r>
          </w:p>
        </w:tc>
        <w:tc>
          <w:tcPr>
            <w:tcW w:w="696"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sz w:val="20"/>
                <w:lang w:val="en-US" w:eastAsia="zh-CN"/>
              </w:rPr>
            </w:pPr>
            <w:r>
              <w:rPr>
                <w:rFonts w:hint="eastAsia" w:eastAsia="宋体" w:cs="Times New Roman"/>
                <w:color w:val="333333"/>
                <w:sz w:val="20"/>
                <w:lang w:val="en-US" w:eastAsia="zh-CN"/>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854" w:type="dxa"/>
            <w:vMerge w:val="restart"/>
            <w:tcBorders>
              <w:top w:val="nil"/>
              <w:left w:val="nil"/>
              <w:bottom w:val="single" w:color="auto" w:sz="4" w:space="0"/>
              <w:right w:val="single" w:color="auto" w:sz="4" w:space="0"/>
            </w:tcBorders>
            <w:vAlign w:val="center"/>
          </w:tcPr>
          <w:p>
            <w:pPr>
              <w:widowControl/>
              <w:spacing w:before="100" w:beforeAutospacing="1" w:after="180"/>
              <w:rPr>
                <w:rFonts w:hint="default" w:ascii="Times New Roman" w:hAnsi="Times New Roman" w:eastAsia="宋体" w:cs="Times New Roman"/>
                <w:color w:val="333333"/>
                <w:kern w:val="0"/>
                <w:sz w:val="24"/>
                <w:szCs w:val="24"/>
              </w:rPr>
            </w:pPr>
            <w:r>
              <w:rPr>
                <w:rFonts w:hint="default" w:ascii="Times New Roman" w:hAnsi="Times New Roman" w:eastAsia="方正楷体简体" w:cs="Times New Roman"/>
                <w:color w:val="333333"/>
                <w:sz w:val="20"/>
              </w:rPr>
              <w:t>（三）不予公开</w:t>
            </w:r>
          </w:p>
        </w:tc>
        <w:tc>
          <w:tcPr>
            <w:tcW w:w="2084"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hint="default" w:ascii="Times New Roman" w:hAnsi="Times New Roman" w:eastAsia="方正楷体简体" w:cs="Times New Roman"/>
                <w:color w:val="333333"/>
                <w:sz w:val="20"/>
              </w:rPr>
            </w:pPr>
            <w:r>
              <w:rPr>
                <w:rFonts w:hint="default" w:ascii="Times New Roman" w:hAnsi="Times New Roman" w:eastAsia="方正楷体简体" w:cs="Times New Roman"/>
                <w:color w:val="333333"/>
                <w:sz w:val="20"/>
              </w:rPr>
              <w:t>1.属于国家秘密</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97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696"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0" w:type="auto"/>
            <w:vMerge w:val="continue"/>
            <w:tcBorders>
              <w:top w:val="nil"/>
              <w:left w:val="nil"/>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2084"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hint="default" w:ascii="Times New Roman" w:hAnsi="Times New Roman" w:eastAsia="方正楷体简体" w:cs="Times New Roman"/>
                <w:color w:val="333333"/>
                <w:sz w:val="20"/>
              </w:rPr>
            </w:pPr>
            <w:r>
              <w:rPr>
                <w:rFonts w:hint="default" w:ascii="Times New Roman" w:hAnsi="Times New Roman" w:eastAsia="方正楷体简体" w:cs="Times New Roman"/>
                <w:color w:val="333333"/>
                <w:sz w:val="20"/>
              </w:rPr>
              <w:t>2.其他法律行政法规禁止公开</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1</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97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696" w:type="dxa"/>
            <w:tcBorders>
              <w:top w:val="single" w:color="auto" w:sz="4" w:space="0"/>
              <w:left w:val="nil"/>
              <w:bottom w:val="single" w:color="auto" w:sz="4" w:space="0"/>
              <w:right w:val="single" w:color="auto" w:sz="4" w:space="0"/>
            </w:tcBorders>
            <w:vAlign w:val="center"/>
          </w:tcPr>
          <w:p>
            <w:pPr>
              <w:widowControl/>
              <w:spacing w:before="100" w:beforeAutospacing="1" w:after="180"/>
              <w:ind w:firstLine="200" w:firstLineChars="10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0" w:type="auto"/>
            <w:vMerge w:val="continue"/>
            <w:tcBorders>
              <w:top w:val="nil"/>
              <w:left w:val="nil"/>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2084"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hint="default" w:ascii="Times New Roman" w:hAnsi="Times New Roman" w:eastAsia="方正楷体简体" w:cs="Times New Roman"/>
                <w:color w:val="333333"/>
                <w:sz w:val="20"/>
              </w:rPr>
            </w:pPr>
            <w:r>
              <w:rPr>
                <w:rFonts w:hint="default" w:ascii="Times New Roman" w:hAnsi="Times New Roman" w:eastAsia="方正楷体简体" w:cs="Times New Roman"/>
                <w:color w:val="333333"/>
                <w:sz w:val="20"/>
              </w:rPr>
              <w:t>3.危及“三安全一稳定”</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97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696"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0" w:type="auto"/>
            <w:vMerge w:val="continue"/>
            <w:tcBorders>
              <w:top w:val="nil"/>
              <w:left w:val="nil"/>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2084"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hint="default" w:ascii="Times New Roman" w:hAnsi="Times New Roman" w:eastAsia="方正楷体简体" w:cs="Times New Roman"/>
                <w:color w:val="333333"/>
                <w:sz w:val="20"/>
              </w:rPr>
            </w:pPr>
            <w:r>
              <w:rPr>
                <w:rFonts w:hint="default" w:ascii="Times New Roman" w:hAnsi="Times New Roman" w:eastAsia="方正楷体简体" w:cs="Times New Roman"/>
                <w:color w:val="333333"/>
                <w:sz w:val="20"/>
              </w:rPr>
              <w:t>4.保护第三方合法权益</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97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696"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0" w:type="auto"/>
            <w:vMerge w:val="continue"/>
            <w:tcBorders>
              <w:top w:val="nil"/>
              <w:left w:val="nil"/>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2084"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hint="default" w:ascii="Times New Roman" w:hAnsi="Times New Roman" w:eastAsia="方正楷体简体" w:cs="Times New Roman"/>
                <w:color w:val="333333"/>
                <w:sz w:val="20"/>
              </w:rPr>
            </w:pPr>
            <w:r>
              <w:rPr>
                <w:rFonts w:hint="default" w:ascii="Times New Roman" w:hAnsi="Times New Roman" w:eastAsia="方正楷体简体" w:cs="Times New Roman"/>
                <w:color w:val="333333"/>
                <w:sz w:val="20"/>
              </w:rPr>
              <w:t>5.属于三类内部事务信息</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97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696"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0" w:type="auto"/>
            <w:vMerge w:val="continue"/>
            <w:tcBorders>
              <w:top w:val="nil"/>
              <w:left w:val="nil"/>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2084"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hint="default" w:ascii="Times New Roman" w:hAnsi="Times New Roman" w:eastAsia="方正楷体简体" w:cs="Times New Roman"/>
                <w:color w:val="333333"/>
                <w:sz w:val="20"/>
              </w:rPr>
            </w:pPr>
            <w:r>
              <w:rPr>
                <w:rFonts w:hint="default" w:ascii="Times New Roman" w:hAnsi="Times New Roman" w:eastAsia="方正楷体简体" w:cs="Times New Roman"/>
                <w:color w:val="333333"/>
                <w:sz w:val="20"/>
              </w:rPr>
              <w:t>6.属于四类过程性信息</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9</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97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696" w:type="dxa"/>
            <w:tcBorders>
              <w:top w:val="single" w:color="auto" w:sz="4" w:space="0"/>
              <w:left w:val="nil"/>
              <w:bottom w:val="single" w:color="auto" w:sz="4" w:space="0"/>
              <w:right w:val="single" w:color="auto" w:sz="4" w:space="0"/>
            </w:tcBorders>
            <w:vAlign w:val="center"/>
          </w:tcPr>
          <w:p>
            <w:pPr>
              <w:widowControl/>
              <w:spacing w:before="100" w:beforeAutospacing="1" w:after="180"/>
              <w:ind w:firstLine="200" w:firstLineChars="10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0" w:type="auto"/>
            <w:vMerge w:val="continue"/>
            <w:tcBorders>
              <w:top w:val="nil"/>
              <w:left w:val="nil"/>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2084"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hint="default" w:ascii="Times New Roman" w:hAnsi="Times New Roman" w:eastAsia="方正楷体简体" w:cs="Times New Roman"/>
                <w:color w:val="333333"/>
                <w:sz w:val="20"/>
              </w:rPr>
            </w:pPr>
            <w:r>
              <w:rPr>
                <w:rFonts w:hint="default" w:ascii="Times New Roman" w:hAnsi="Times New Roman" w:eastAsia="方正楷体简体" w:cs="Times New Roman"/>
                <w:color w:val="333333"/>
                <w:sz w:val="20"/>
              </w:rPr>
              <w:t>7.属于行政执法案卷</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3</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97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696"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0" w:type="auto"/>
            <w:vMerge w:val="continue"/>
            <w:tcBorders>
              <w:top w:val="nil"/>
              <w:left w:val="nil"/>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2084"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hint="default" w:ascii="Times New Roman" w:hAnsi="Times New Roman" w:eastAsia="方正楷体简体" w:cs="Times New Roman"/>
                <w:color w:val="333333"/>
                <w:sz w:val="20"/>
              </w:rPr>
            </w:pPr>
            <w:r>
              <w:rPr>
                <w:rFonts w:hint="default" w:ascii="Times New Roman" w:hAnsi="Times New Roman" w:eastAsia="方正楷体简体" w:cs="Times New Roman"/>
                <w:color w:val="333333"/>
                <w:sz w:val="20"/>
              </w:rPr>
              <w:t>8.属于行政查询事项</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97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696"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854" w:type="dxa"/>
            <w:vMerge w:val="restart"/>
            <w:tcBorders>
              <w:top w:val="nil"/>
              <w:left w:val="nil"/>
              <w:bottom w:val="single" w:color="auto" w:sz="4" w:space="0"/>
              <w:right w:val="single" w:color="auto" w:sz="4" w:space="0"/>
            </w:tcBorders>
            <w:vAlign w:val="center"/>
          </w:tcPr>
          <w:p>
            <w:pPr>
              <w:widowControl/>
              <w:spacing w:before="100" w:beforeAutospacing="1" w:after="180"/>
              <w:jc w:val="left"/>
              <w:rPr>
                <w:rFonts w:hint="default" w:ascii="Times New Roman" w:hAnsi="Times New Roman" w:eastAsia="宋体" w:cs="Times New Roman"/>
                <w:color w:val="333333"/>
                <w:kern w:val="0"/>
                <w:sz w:val="24"/>
                <w:szCs w:val="24"/>
              </w:rPr>
            </w:pPr>
            <w:r>
              <w:rPr>
                <w:rFonts w:hint="default" w:ascii="Times New Roman" w:hAnsi="Times New Roman" w:eastAsia="楷体" w:cs="Times New Roman"/>
                <w:color w:val="333333"/>
                <w:sz w:val="20"/>
              </w:rPr>
              <w:t>（四）无法提供</w:t>
            </w:r>
          </w:p>
        </w:tc>
        <w:tc>
          <w:tcPr>
            <w:tcW w:w="2084"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hint="default" w:ascii="Times New Roman" w:hAnsi="Times New Roman" w:eastAsia="方正楷体简体" w:cs="Times New Roman"/>
                <w:color w:val="333333"/>
                <w:sz w:val="20"/>
              </w:rPr>
            </w:pPr>
            <w:r>
              <w:rPr>
                <w:rFonts w:hint="default" w:ascii="Times New Roman" w:hAnsi="Times New Roman" w:eastAsia="方正楷体简体" w:cs="Times New Roman"/>
                <w:color w:val="333333"/>
                <w:sz w:val="20"/>
              </w:rPr>
              <w:t>1.本机关不掌握相关政府信息</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52</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方正楷体简体" w:cs="Times New Roman"/>
                <w:color w:val="333333"/>
                <w:sz w:val="20"/>
              </w:rPr>
            </w:pPr>
            <w:r>
              <w:rPr>
                <w:rFonts w:hint="eastAsia" w:eastAsia="方正楷体简体" w:cs="Times New Roman"/>
                <w:color w:val="333333"/>
                <w:sz w:val="20"/>
                <w:lang w:val="en-US" w:eastAsia="zh-CN"/>
              </w:rPr>
              <w:t>2</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97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696"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0" w:type="auto"/>
            <w:vMerge w:val="continue"/>
            <w:tcBorders>
              <w:top w:val="nil"/>
              <w:left w:val="nil"/>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2084"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hint="default" w:ascii="Times New Roman" w:hAnsi="Times New Roman" w:eastAsia="方正楷体简体" w:cs="Times New Roman"/>
                <w:color w:val="333333"/>
                <w:sz w:val="20"/>
              </w:rPr>
            </w:pPr>
            <w:r>
              <w:rPr>
                <w:rFonts w:hint="default" w:ascii="Times New Roman" w:hAnsi="Times New Roman" w:eastAsia="方正楷体简体" w:cs="Times New Roman"/>
                <w:color w:val="333333"/>
                <w:sz w:val="20"/>
              </w:rPr>
              <w:t>2.没有现成信息需要另行制作</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97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696"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0" w:type="auto"/>
            <w:vMerge w:val="continue"/>
            <w:tcBorders>
              <w:top w:val="nil"/>
              <w:left w:val="nil"/>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2084"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hint="default" w:ascii="Times New Roman" w:hAnsi="Times New Roman" w:eastAsia="方正楷体简体" w:cs="Times New Roman"/>
                <w:color w:val="333333"/>
                <w:sz w:val="20"/>
              </w:rPr>
            </w:pPr>
            <w:r>
              <w:rPr>
                <w:rFonts w:hint="default" w:ascii="Times New Roman" w:hAnsi="Times New Roman" w:eastAsia="方正楷体简体" w:cs="Times New Roman"/>
                <w:color w:val="333333"/>
                <w:sz w:val="20"/>
              </w:rPr>
              <w:t>3.补正后申请内容仍不明确</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97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696"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854" w:type="dxa"/>
            <w:vMerge w:val="restart"/>
            <w:tcBorders>
              <w:top w:val="nil"/>
              <w:left w:val="nil"/>
              <w:bottom w:val="single" w:color="auto" w:sz="4" w:space="0"/>
              <w:right w:val="single" w:color="auto" w:sz="4" w:space="0"/>
            </w:tcBorders>
            <w:vAlign w:val="center"/>
          </w:tcPr>
          <w:p>
            <w:pPr>
              <w:widowControl/>
              <w:spacing w:before="100" w:beforeAutospacing="1" w:after="180"/>
              <w:jc w:val="left"/>
              <w:rPr>
                <w:rFonts w:hint="default" w:ascii="Times New Roman" w:hAnsi="Times New Roman" w:eastAsia="宋体" w:cs="Times New Roman"/>
                <w:color w:val="333333"/>
                <w:kern w:val="0"/>
                <w:sz w:val="24"/>
                <w:szCs w:val="24"/>
              </w:rPr>
            </w:pPr>
            <w:r>
              <w:rPr>
                <w:rFonts w:hint="default" w:ascii="Times New Roman" w:hAnsi="Times New Roman" w:eastAsia="楷体" w:cs="Times New Roman"/>
                <w:color w:val="333333"/>
                <w:sz w:val="20"/>
              </w:rPr>
              <w:t>（五）不予处理</w:t>
            </w:r>
          </w:p>
        </w:tc>
        <w:tc>
          <w:tcPr>
            <w:tcW w:w="2084"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hint="default" w:ascii="Times New Roman" w:hAnsi="Times New Roman" w:eastAsia="方正楷体简体" w:cs="Times New Roman"/>
                <w:color w:val="333333"/>
                <w:sz w:val="20"/>
              </w:rPr>
            </w:pPr>
            <w:r>
              <w:rPr>
                <w:rFonts w:hint="default" w:ascii="Times New Roman" w:hAnsi="Times New Roman" w:eastAsia="方正楷体简体" w:cs="Times New Roman"/>
                <w:color w:val="333333"/>
                <w:sz w:val="20"/>
              </w:rPr>
              <w:t>1.信访举报投诉类申请</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1</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97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696"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0" w:type="auto"/>
            <w:vMerge w:val="continue"/>
            <w:tcBorders>
              <w:top w:val="nil"/>
              <w:left w:val="nil"/>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2084"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hint="default" w:ascii="Times New Roman" w:hAnsi="Times New Roman" w:eastAsia="方正楷体简体" w:cs="Times New Roman"/>
                <w:color w:val="333333"/>
                <w:sz w:val="20"/>
              </w:rPr>
            </w:pPr>
            <w:r>
              <w:rPr>
                <w:rFonts w:hint="default" w:ascii="Times New Roman" w:hAnsi="Times New Roman" w:eastAsia="方正楷体简体" w:cs="Times New Roman"/>
                <w:color w:val="333333"/>
                <w:sz w:val="20"/>
              </w:rPr>
              <w:t>2.重复申请</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6</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97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696"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0" w:type="auto"/>
            <w:vMerge w:val="continue"/>
            <w:tcBorders>
              <w:top w:val="nil"/>
              <w:left w:val="nil"/>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2084"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hint="default" w:ascii="Times New Roman" w:hAnsi="Times New Roman" w:eastAsia="方正楷体简体" w:cs="Times New Roman"/>
                <w:color w:val="333333"/>
                <w:sz w:val="20"/>
              </w:rPr>
            </w:pPr>
            <w:r>
              <w:rPr>
                <w:rFonts w:hint="default" w:ascii="Times New Roman" w:hAnsi="Times New Roman" w:eastAsia="方正楷体简体" w:cs="Times New Roman"/>
                <w:color w:val="333333"/>
                <w:sz w:val="20"/>
              </w:rPr>
              <w:t>3.要求提供公开出版物</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97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696"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0" w:type="auto"/>
            <w:vMerge w:val="continue"/>
            <w:tcBorders>
              <w:top w:val="nil"/>
              <w:left w:val="nil"/>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2084"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hint="default" w:ascii="Times New Roman" w:hAnsi="Times New Roman" w:eastAsia="方正楷体简体" w:cs="Times New Roman"/>
                <w:color w:val="333333"/>
                <w:sz w:val="20"/>
              </w:rPr>
            </w:pPr>
            <w:r>
              <w:rPr>
                <w:rFonts w:hint="default" w:ascii="Times New Roman" w:hAnsi="Times New Roman" w:eastAsia="方正楷体简体" w:cs="Times New Roman"/>
                <w:color w:val="333333"/>
                <w:sz w:val="20"/>
              </w:rPr>
              <w:t>4.无正当理由大量反复申请</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97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696"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0" w:type="auto"/>
            <w:vMerge w:val="continue"/>
            <w:tcBorders>
              <w:top w:val="nil"/>
              <w:left w:val="nil"/>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2084" w:type="dxa"/>
            <w:tcBorders>
              <w:top w:val="single" w:color="auto" w:sz="4" w:space="0"/>
              <w:left w:val="nil"/>
              <w:bottom w:val="single" w:color="auto" w:sz="4" w:space="0"/>
              <w:right w:val="single" w:color="auto" w:sz="4" w:space="0"/>
            </w:tcBorders>
            <w:vAlign w:val="center"/>
          </w:tcPr>
          <w:p>
            <w:pPr>
              <w:widowControl/>
              <w:spacing w:before="100" w:beforeAutospacing="1" w:after="180"/>
              <w:rPr>
                <w:rFonts w:hint="default" w:ascii="Times New Roman" w:hAnsi="Times New Roman" w:eastAsia="方正楷体简体" w:cs="Times New Roman"/>
                <w:color w:val="333333"/>
                <w:sz w:val="20"/>
              </w:rPr>
            </w:pPr>
            <w:r>
              <w:rPr>
                <w:rFonts w:hint="default" w:ascii="Times New Roman" w:hAnsi="Times New Roman" w:eastAsia="方正楷体简体" w:cs="Times New Roman"/>
                <w:color w:val="333333"/>
                <w:sz w:val="20"/>
              </w:rPr>
              <w:t>5.要求行政机关确认或重新出具已获取信息</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97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696"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2938"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80"/>
              <w:rPr>
                <w:rFonts w:hint="default" w:ascii="Times New Roman" w:hAnsi="Times New Roman" w:eastAsia="方正楷体简体" w:cs="Times New Roman"/>
                <w:color w:val="333333"/>
                <w:sz w:val="20"/>
              </w:rPr>
            </w:pPr>
            <w:r>
              <w:rPr>
                <w:rFonts w:hint="default" w:ascii="Times New Roman" w:hAnsi="Times New Roman" w:eastAsia="方正楷体简体" w:cs="Times New Roman"/>
                <w:color w:val="333333"/>
                <w:sz w:val="20"/>
              </w:rPr>
              <w:t>（六）其他处理</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2</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97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696"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2938" w:type="dxa"/>
            <w:gridSpan w:val="2"/>
            <w:tcBorders>
              <w:top w:val="single" w:color="auto" w:sz="4" w:space="0"/>
              <w:left w:val="nil"/>
              <w:bottom w:val="single" w:color="auto" w:sz="4" w:space="0"/>
              <w:right w:val="single" w:color="auto" w:sz="4" w:space="0"/>
            </w:tcBorders>
            <w:vAlign w:val="center"/>
          </w:tcPr>
          <w:p>
            <w:pPr>
              <w:widowControl/>
              <w:spacing w:before="100" w:beforeAutospacing="1" w:after="180"/>
              <w:rPr>
                <w:rFonts w:hint="default" w:ascii="Times New Roman" w:hAnsi="Times New Roman" w:eastAsia="方正楷体简体" w:cs="Times New Roman"/>
                <w:color w:val="333333"/>
                <w:sz w:val="20"/>
              </w:rPr>
            </w:pPr>
            <w:r>
              <w:rPr>
                <w:rFonts w:hint="default" w:ascii="Times New Roman" w:hAnsi="Times New Roman" w:eastAsia="方正楷体简体" w:cs="Times New Roman"/>
                <w:color w:val="333333"/>
                <w:sz w:val="20"/>
              </w:rPr>
              <w:t>（七）总计</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140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2</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97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0</w:t>
            </w:r>
          </w:p>
        </w:tc>
        <w:tc>
          <w:tcPr>
            <w:tcW w:w="696"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方正楷体简体" w:cs="Times New Roman"/>
                <w:color w:val="333333"/>
                <w:sz w:val="20"/>
                <w:lang w:val="en-US" w:eastAsia="zh-CN"/>
              </w:rPr>
            </w:pPr>
            <w:r>
              <w:rPr>
                <w:rFonts w:hint="eastAsia" w:eastAsia="方正楷体简体" w:cs="Times New Roman"/>
                <w:color w:val="333333"/>
                <w:sz w:val="20"/>
                <w:lang w:val="en-US" w:eastAsia="zh-CN"/>
              </w:rPr>
              <w:t>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554" w:type="dxa"/>
            <w:gridSpan w:val="3"/>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80"/>
              <w:jc w:val="left"/>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四、结转下年度继续办理</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宋体" w:cs="Times New Roman"/>
                <w:color w:val="333333"/>
                <w:kern w:val="0"/>
                <w:sz w:val="24"/>
                <w:szCs w:val="24"/>
                <w:lang w:val="en-US" w:eastAsia="zh-CN"/>
              </w:rPr>
            </w:pPr>
            <w:r>
              <w:rPr>
                <w:rFonts w:hint="eastAsia" w:eastAsia="宋体" w:cs="Times New Roman"/>
                <w:color w:val="333333"/>
                <w:sz w:val="20"/>
                <w:lang w:val="en-US" w:eastAsia="zh-CN"/>
              </w:rPr>
              <w:t>1</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宋体" w:cs="Times New Roman"/>
                <w:color w:val="333333"/>
                <w:kern w:val="0"/>
                <w:sz w:val="24"/>
                <w:szCs w:val="24"/>
                <w:lang w:val="en-US" w:eastAsia="zh-CN"/>
              </w:rPr>
            </w:pPr>
            <w:r>
              <w:rPr>
                <w:rFonts w:hint="eastAsia" w:eastAsia="宋体" w:cs="Times New Roman"/>
                <w:color w:val="333333"/>
                <w:sz w:val="20"/>
                <w:lang w:val="en-US" w:eastAsia="zh-CN"/>
              </w:rPr>
              <w:t>0</w:t>
            </w:r>
          </w:p>
        </w:tc>
        <w:tc>
          <w:tcPr>
            <w:tcW w:w="75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宋体" w:cs="Times New Roman"/>
                <w:color w:val="333333"/>
                <w:kern w:val="0"/>
                <w:sz w:val="24"/>
                <w:szCs w:val="24"/>
                <w:lang w:val="en-US" w:eastAsia="zh-CN"/>
              </w:rPr>
            </w:pPr>
            <w:r>
              <w:rPr>
                <w:rFonts w:hint="eastAsia" w:eastAsia="宋体" w:cs="Times New Roman"/>
                <w:color w:val="333333"/>
                <w:sz w:val="20"/>
                <w:lang w:val="en-US" w:eastAsia="zh-CN"/>
              </w:rPr>
              <w:t>0</w:t>
            </w:r>
          </w:p>
        </w:tc>
        <w:tc>
          <w:tcPr>
            <w:tcW w:w="813"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宋体" w:cs="Times New Roman"/>
                <w:color w:val="333333"/>
                <w:kern w:val="0"/>
                <w:sz w:val="24"/>
                <w:szCs w:val="24"/>
                <w:lang w:val="en-US" w:eastAsia="zh-CN"/>
              </w:rPr>
            </w:pPr>
            <w:r>
              <w:rPr>
                <w:rFonts w:hint="eastAsia" w:eastAsia="宋体" w:cs="Times New Roman"/>
                <w:color w:val="333333"/>
                <w:sz w:val="20"/>
                <w:lang w:val="en-US" w:eastAsia="zh-CN"/>
              </w:rPr>
              <w:t>0</w:t>
            </w:r>
          </w:p>
        </w:tc>
        <w:tc>
          <w:tcPr>
            <w:tcW w:w="97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宋体" w:cs="Times New Roman"/>
                <w:color w:val="333333"/>
                <w:kern w:val="0"/>
                <w:sz w:val="24"/>
                <w:szCs w:val="24"/>
                <w:lang w:val="en-US" w:eastAsia="zh-CN"/>
              </w:rPr>
            </w:pPr>
            <w:r>
              <w:rPr>
                <w:rFonts w:hint="eastAsia" w:eastAsia="宋体" w:cs="Times New Roman"/>
                <w:color w:val="333333"/>
                <w:sz w:val="20"/>
                <w:lang w:val="en-US" w:eastAsia="zh-CN"/>
              </w:rPr>
              <w:t>0</w:t>
            </w:r>
          </w:p>
        </w:tc>
        <w:tc>
          <w:tcPr>
            <w:tcW w:w="711"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宋体" w:cs="Times New Roman"/>
                <w:color w:val="333333"/>
                <w:kern w:val="0"/>
                <w:sz w:val="24"/>
                <w:szCs w:val="24"/>
                <w:lang w:val="en-US" w:eastAsia="zh-CN"/>
              </w:rPr>
            </w:pPr>
            <w:r>
              <w:rPr>
                <w:rFonts w:hint="eastAsia" w:eastAsia="宋体" w:cs="Times New Roman"/>
                <w:color w:val="333333"/>
                <w:sz w:val="20"/>
                <w:lang w:val="en-US" w:eastAsia="zh-CN"/>
              </w:rPr>
              <w:t>0</w:t>
            </w:r>
          </w:p>
        </w:tc>
        <w:tc>
          <w:tcPr>
            <w:tcW w:w="696"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宋体" w:cs="Times New Roman"/>
                <w:color w:val="333333"/>
                <w:kern w:val="0"/>
                <w:sz w:val="24"/>
                <w:szCs w:val="24"/>
                <w:lang w:val="en-US" w:eastAsia="zh-CN"/>
              </w:rPr>
            </w:pPr>
            <w:r>
              <w:rPr>
                <w:rFonts w:hint="eastAsia" w:eastAsia="宋体" w:cs="Times New Roman"/>
                <w:color w:val="333333"/>
                <w:kern w:val="0"/>
                <w:sz w:val="24"/>
                <w:szCs w:val="24"/>
                <w:lang w:val="en-US" w:eastAsia="zh-CN"/>
              </w:rPr>
              <w:t>1</w:t>
            </w:r>
          </w:p>
        </w:tc>
      </w:tr>
    </w:tbl>
    <w:p>
      <w:pPr>
        <w:spacing w:line="56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四、政府信息公开行政复议、行政诉讼情况</w:t>
      </w:r>
    </w:p>
    <w:tbl>
      <w:tblPr>
        <w:tblStyle w:val="18"/>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
        <w:gridCol w:w="604"/>
        <w:gridCol w:w="604"/>
        <w:gridCol w:w="604"/>
        <w:gridCol w:w="658"/>
        <w:gridCol w:w="550"/>
        <w:gridCol w:w="605"/>
        <w:gridCol w:w="605"/>
        <w:gridCol w:w="605"/>
        <w:gridCol w:w="605"/>
        <w:gridCol w:w="605"/>
        <w:gridCol w:w="605"/>
        <w:gridCol w:w="605"/>
        <w:gridCol w:w="606"/>
        <w:gridCol w:w="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074" w:type="dxa"/>
            <w:gridSpan w:val="5"/>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行政复议</w:t>
            </w:r>
          </w:p>
        </w:tc>
        <w:tc>
          <w:tcPr>
            <w:tcW w:w="5997" w:type="dxa"/>
            <w:gridSpan w:val="10"/>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vMerge w:val="restart"/>
            <w:tcBorders>
              <w:top w:val="nil"/>
              <w:left w:val="single" w:color="auto" w:sz="4" w:space="0"/>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结果维持</w:t>
            </w:r>
          </w:p>
        </w:tc>
        <w:tc>
          <w:tcPr>
            <w:tcW w:w="604" w:type="dxa"/>
            <w:vMerge w:val="restart"/>
            <w:tcBorders>
              <w:top w:val="nil"/>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结果纠正</w:t>
            </w:r>
          </w:p>
        </w:tc>
        <w:tc>
          <w:tcPr>
            <w:tcW w:w="604" w:type="dxa"/>
            <w:vMerge w:val="restart"/>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其他结果</w:t>
            </w:r>
          </w:p>
        </w:tc>
        <w:tc>
          <w:tcPr>
            <w:tcW w:w="604" w:type="dxa"/>
            <w:vMerge w:val="restart"/>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尚未审结</w:t>
            </w:r>
          </w:p>
        </w:tc>
        <w:tc>
          <w:tcPr>
            <w:tcW w:w="658" w:type="dxa"/>
            <w:vMerge w:val="restart"/>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总计</w:t>
            </w:r>
          </w:p>
        </w:tc>
        <w:tc>
          <w:tcPr>
            <w:tcW w:w="2970" w:type="dxa"/>
            <w:gridSpan w:val="5"/>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未经复议直接起诉</w:t>
            </w:r>
          </w:p>
        </w:tc>
        <w:tc>
          <w:tcPr>
            <w:tcW w:w="3027" w:type="dxa"/>
            <w:gridSpan w:val="5"/>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复议后起诉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0" w:type="auto"/>
            <w:vMerge w:val="continue"/>
            <w:tcBorders>
              <w:top w:val="nil"/>
              <w:left w:val="single" w:color="auto" w:sz="4" w:space="0"/>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0" w:type="auto"/>
            <w:vMerge w:val="continue"/>
            <w:tcBorders>
              <w:top w:val="nil"/>
              <w:left w:val="nil"/>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0" w:type="auto"/>
            <w:vMerge w:val="continue"/>
            <w:tcBorders>
              <w:top w:val="single" w:color="auto" w:sz="4" w:space="0"/>
              <w:left w:val="nil"/>
              <w:bottom w:val="single" w:color="auto" w:sz="4" w:space="0"/>
              <w:right w:val="single" w:color="auto" w:sz="4" w:space="0"/>
            </w:tcBorders>
            <w:vAlign w:val="center"/>
          </w:tcPr>
          <w:p>
            <w:pPr>
              <w:widowControl/>
              <w:spacing w:line="480" w:lineRule="auto"/>
              <w:jc w:val="left"/>
              <w:rPr>
                <w:rFonts w:hint="default" w:ascii="Times New Roman" w:hAnsi="Times New Roman" w:eastAsia="宋体" w:cs="Times New Roman"/>
                <w:color w:val="333333"/>
                <w:kern w:val="0"/>
                <w:sz w:val="24"/>
                <w:szCs w:val="24"/>
              </w:rPr>
            </w:pPr>
          </w:p>
        </w:tc>
        <w:tc>
          <w:tcPr>
            <w:tcW w:w="550"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结果维持</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结果纠正</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其他结果</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尚未审结</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000000"/>
                <w:kern w:val="0"/>
                <w:sz w:val="20"/>
              </w:rPr>
              <w:t>总计</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结果维持</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结果纠正</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000000"/>
                <w:kern w:val="0"/>
                <w:sz w:val="20"/>
              </w:rPr>
              <w:t>其他结果</w:t>
            </w:r>
          </w:p>
        </w:tc>
        <w:tc>
          <w:tcPr>
            <w:tcW w:w="606"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尚未审结</w:t>
            </w:r>
          </w:p>
        </w:tc>
        <w:tc>
          <w:tcPr>
            <w:tcW w:w="606"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000000"/>
                <w:kern w:val="0"/>
                <w:sz w:val="20"/>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4" w:type="dxa"/>
            <w:tcBorders>
              <w:top w:val="single" w:color="auto" w:sz="4" w:space="0"/>
              <w:left w:val="single" w:color="auto" w:sz="4" w:space="0"/>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宋体" w:cs="Times New Roman"/>
                <w:color w:val="333333"/>
                <w:kern w:val="0"/>
                <w:sz w:val="24"/>
                <w:szCs w:val="24"/>
                <w:lang w:val="en-US" w:eastAsia="zh-CN"/>
              </w:rPr>
            </w:pPr>
            <w:r>
              <w:rPr>
                <w:rFonts w:hint="default" w:ascii="Times New Roman" w:hAnsi="Times New Roman" w:eastAsia="宋体" w:cs="Times New Roman"/>
                <w:color w:val="333333"/>
                <w:sz w:val="20"/>
              </w:rPr>
              <w:t> </w:t>
            </w:r>
            <w:r>
              <w:rPr>
                <w:rFonts w:hint="eastAsia" w:eastAsia="宋体" w:cs="Times New Roman"/>
                <w:color w:val="333333"/>
                <w:sz w:val="20"/>
                <w:lang w:val="en-US" w:eastAsia="zh-CN"/>
              </w:rPr>
              <w:t>4</w:t>
            </w:r>
          </w:p>
        </w:tc>
        <w:tc>
          <w:tcPr>
            <w:tcW w:w="60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宋体" w:cs="Times New Roman"/>
                <w:color w:val="333333"/>
                <w:kern w:val="0"/>
                <w:sz w:val="24"/>
                <w:szCs w:val="24"/>
                <w:lang w:val="en-US" w:eastAsia="zh-CN"/>
              </w:rPr>
            </w:pPr>
            <w:r>
              <w:rPr>
                <w:rFonts w:hint="eastAsia" w:eastAsia="宋体" w:cs="Times New Roman"/>
                <w:color w:val="333333"/>
                <w:sz w:val="20"/>
                <w:lang w:val="en-US" w:eastAsia="zh-CN"/>
              </w:rPr>
              <w:t>1</w:t>
            </w:r>
          </w:p>
        </w:tc>
        <w:tc>
          <w:tcPr>
            <w:tcW w:w="60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 </w:t>
            </w:r>
          </w:p>
        </w:tc>
        <w:tc>
          <w:tcPr>
            <w:tcW w:w="604"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eastAsia" w:eastAsia="宋体" w:cs="Times New Roman"/>
                <w:color w:val="333333"/>
                <w:sz w:val="20"/>
                <w:lang w:val="en-US" w:eastAsia="zh-CN"/>
              </w:rPr>
              <w:t>3</w:t>
            </w:r>
          </w:p>
        </w:tc>
        <w:tc>
          <w:tcPr>
            <w:tcW w:w="658"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宋体" w:cs="Times New Roman"/>
                <w:color w:val="333333"/>
                <w:kern w:val="0"/>
                <w:sz w:val="24"/>
                <w:szCs w:val="24"/>
                <w:lang w:val="en-US" w:eastAsia="zh-CN"/>
              </w:rPr>
            </w:pPr>
            <w:r>
              <w:rPr>
                <w:rFonts w:hint="eastAsia" w:eastAsia="宋体" w:cs="Times New Roman"/>
                <w:color w:val="333333"/>
                <w:sz w:val="20"/>
                <w:lang w:val="en-US" w:eastAsia="zh-CN"/>
              </w:rPr>
              <w:t>8</w:t>
            </w:r>
          </w:p>
        </w:tc>
        <w:tc>
          <w:tcPr>
            <w:tcW w:w="550"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宋体" w:cs="Times New Roman"/>
                <w:color w:val="333333"/>
                <w:kern w:val="0"/>
                <w:sz w:val="24"/>
                <w:szCs w:val="24"/>
                <w:lang w:val="en-US" w:eastAsia="zh-CN"/>
              </w:rPr>
            </w:pPr>
            <w:r>
              <w:rPr>
                <w:rFonts w:hint="default" w:ascii="Times New Roman" w:hAnsi="Times New Roman" w:eastAsia="宋体" w:cs="Times New Roman"/>
                <w:color w:val="333333"/>
                <w:sz w:val="20"/>
              </w:rPr>
              <w:t> </w:t>
            </w:r>
            <w:r>
              <w:rPr>
                <w:rFonts w:hint="eastAsia" w:eastAsia="宋体" w:cs="Times New Roman"/>
                <w:color w:val="333333"/>
                <w:sz w:val="20"/>
                <w:lang w:val="en-US" w:eastAsia="zh-CN"/>
              </w:rPr>
              <w:t>1</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 </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 </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 </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宋体" w:cs="Times New Roman"/>
                <w:color w:val="333333"/>
                <w:kern w:val="0"/>
                <w:sz w:val="24"/>
                <w:szCs w:val="24"/>
                <w:lang w:val="en-US" w:eastAsia="zh-CN"/>
              </w:rPr>
            </w:pPr>
            <w:r>
              <w:rPr>
                <w:rFonts w:hint="default" w:ascii="Times New Roman" w:hAnsi="Times New Roman" w:eastAsia="宋体" w:cs="Times New Roman"/>
                <w:color w:val="000000"/>
                <w:kern w:val="0"/>
                <w:sz w:val="20"/>
              </w:rPr>
              <w:t> </w:t>
            </w:r>
            <w:r>
              <w:rPr>
                <w:rFonts w:hint="eastAsia" w:eastAsia="宋体" w:cs="Times New Roman"/>
                <w:color w:val="000000"/>
                <w:kern w:val="0"/>
                <w:sz w:val="20"/>
                <w:lang w:val="en-US" w:eastAsia="zh-CN"/>
              </w:rPr>
              <w:t>1</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 </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 </w:t>
            </w:r>
          </w:p>
        </w:tc>
        <w:tc>
          <w:tcPr>
            <w:tcW w:w="605"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000000"/>
                <w:kern w:val="0"/>
                <w:sz w:val="20"/>
              </w:rPr>
              <w:t> </w:t>
            </w:r>
          </w:p>
        </w:tc>
        <w:tc>
          <w:tcPr>
            <w:tcW w:w="606"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default" w:ascii="Times New Roman" w:hAnsi="Times New Roman" w:eastAsia="宋体" w:cs="Times New Roman"/>
                <w:color w:val="333333"/>
                <w:kern w:val="0"/>
                <w:sz w:val="24"/>
                <w:szCs w:val="24"/>
              </w:rPr>
            </w:pPr>
            <w:r>
              <w:rPr>
                <w:rFonts w:hint="default" w:ascii="Times New Roman" w:hAnsi="Times New Roman" w:eastAsia="宋体" w:cs="Times New Roman"/>
                <w:color w:val="333333"/>
                <w:sz w:val="20"/>
              </w:rPr>
              <w:t> </w:t>
            </w:r>
          </w:p>
        </w:tc>
        <w:tc>
          <w:tcPr>
            <w:tcW w:w="606" w:type="dxa"/>
            <w:tcBorders>
              <w:top w:val="single" w:color="auto" w:sz="4" w:space="0"/>
              <w:left w:val="nil"/>
              <w:bottom w:val="single" w:color="auto" w:sz="4" w:space="0"/>
              <w:right w:val="single" w:color="auto" w:sz="4" w:space="0"/>
            </w:tcBorders>
            <w:vAlign w:val="center"/>
          </w:tcPr>
          <w:p>
            <w:pPr>
              <w:widowControl/>
              <w:spacing w:before="100" w:beforeAutospacing="1" w:after="180"/>
              <w:jc w:val="center"/>
              <w:rPr>
                <w:rFonts w:hint="eastAsia" w:ascii="Times New Roman" w:hAnsi="Times New Roman" w:eastAsia="宋体" w:cs="Times New Roman"/>
                <w:color w:val="333333"/>
                <w:kern w:val="0"/>
                <w:sz w:val="24"/>
                <w:szCs w:val="24"/>
                <w:lang w:val="en-US" w:eastAsia="zh-CN"/>
              </w:rPr>
            </w:pPr>
          </w:p>
        </w:tc>
      </w:tr>
    </w:tbl>
    <w:p>
      <w:pPr>
        <w:spacing w:line="560" w:lineRule="exact"/>
        <w:ind w:firstLine="640" w:firstLineChars="200"/>
        <w:rPr>
          <w:rFonts w:hint="default" w:ascii="Times New Roman" w:hAnsi="Times New Roman" w:eastAsia="方正黑体_GBK" w:cs="Times New Roman"/>
          <w:bCs/>
          <w:sz w:val="32"/>
          <w:szCs w:val="32"/>
        </w:rPr>
      </w:pPr>
      <w:r>
        <w:rPr>
          <w:rFonts w:hint="default" w:ascii="Times New Roman" w:hAnsi="Times New Roman" w:eastAsia="方正黑体_GBK" w:cs="Times New Roman"/>
          <w:bCs/>
          <w:sz w:val="32"/>
          <w:szCs w:val="32"/>
        </w:rPr>
        <w:t>五、存在的主要问题及改进情况</w:t>
      </w:r>
    </w:p>
    <w:p>
      <w:pPr>
        <w:spacing w:line="560" w:lineRule="exact"/>
        <w:ind w:firstLine="600"/>
        <w:rPr>
          <w:rFonts w:hint="eastAsia" w:eastAsia="方正仿宋_GBK" w:cs="Times New Roman"/>
          <w:sz w:val="32"/>
          <w:szCs w:val="32"/>
          <w:lang w:eastAsia="zh-CN"/>
        </w:rPr>
      </w:pPr>
      <w:r>
        <w:rPr>
          <w:rFonts w:ascii="Times New Roman" w:hAnsi="Times New Roman" w:eastAsia="方正仿宋_GBK" w:cs="Times New Roman"/>
          <w:kern w:val="32"/>
          <w:sz w:val="32"/>
          <w:szCs w:val="32"/>
        </w:rPr>
        <w:t>20</w:t>
      </w:r>
      <w:r>
        <w:rPr>
          <w:rFonts w:hint="eastAsia" w:eastAsia="方正仿宋_GBK" w:cs="Times New Roman"/>
          <w:kern w:val="32"/>
          <w:sz w:val="32"/>
          <w:szCs w:val="32"/>
          <w:lang w:val="en-US" w:eastAsia="zh-CN"/>
        </w:rPr>
        <w:t>19</w:t>
      </w:r>
      <w:r>
        <w:rPr>
          <w:rFonts w:ascii="Times New Roman" w:hAnsi="Times New Roman" w:eastAsia="方正仿宋_GBK" w:cs="Times New Roman"/>
          <w:kern w:val="32"/>
          <w:sz w:val="32"/>
          <w:szCs w:val="32"/>
        </w:rPr>
        <w:t>年，建邺区政务公开工作取得了一定的成绩，但距离群众</w:t>
      </w:r>
      <w:r>
        <w:rPr>
          <w:rFonts w:hint="eastAsia" w:eastAsia="方正仿宋_GBK" w:cs="Times New Roman"/>
          <w:kern w:val="32"/>
          <w:sz w:val="32"/>
          <w:szCs w:val="32"/>
          <w:lang w:eastAsia="zh-CN"/>
        </w:rPr>
        <w:t>的</w:t>
      </w:r>
      <w:r>
        <w:rPr>
          <w:rFonts w:ascii="Times New Roman" w:hAnsi="Times New Roman" w:eastAsia="方正仿宋_GBK" w:cs="Times New Roman"/>
          <w:kern w:val="32"/>
          <w:sz w:val="32"/>
          <w:szCs w:val="32"/>
        </w:rPr>
        <w:t>需求和上级的要求还有一定的差距，主要表现在：政务公开和业务工作结合</w:t>
      </w:r>
      <w:r>
        <w:rPr>
          <w:rFonts w:hint="eastAsia" w:ascii="Times New Roman" w:hAnsi="Times New Roman" w:eastAsia="方正仿宋_GBK" w:cs="Times New Roman"/>
          <w:kern w:val="32"/>
          <w:sz w:val="32"/>
          <w:szCs w:val="32"/>
        </w:rPr>
        <w:t>还</w:t>
      </w:r>
      <w:r>
        <w:rPr>
          <w:rFonts w:ascii="Times New Roman" w:hAnsi="Times New Roman" w:eastAsia="方正仿宋_GBK" w:cs="Times New Roman"/>
          <w:kern w:val="32"/>
          <w:sz w:val="32"/>
          <w:szCs w:val="32"/>
        </w:rPr>
        <w:t>不</w:t>
      </w:r>
      <w:r>
        <w:rPr>
          <w:rFonts w:hint="eastAsia" w:ascii="Times New Roman" w:hAnsi="Times New Roman" w:eastAsia="方正仿宋_GBK" w:cs="Times New Roman"/>
          <w:kern w:val="32"/>
          <w:sz w:val="32"/>
          <w:szCs w:val="32"/>
        </w:rPr>
        <w:t>够</w:t>
      </w:r>
      <w:r>
        <w:rPr>
          <w:rFonts w:ascii="Times New Roman" w:hAnsi="Times New Roman" w:eastAsia="方正仿宋_GBK" w:cs="Times New Roman"/>
          <w:kern w:val="32"/>
          <w:sz w:val="32"/>
          <w:szCs w:val="32"/>
        </w:rPr>
        <w:t>紧密</w:t>
      </w:r>
      <w:r>
        <w:rPr>
          <w:rFonts w:hint="eastAsia" w:ascii="Times New Roman" w:hAnsi="Times New Roman" w:eastAsia="方正仿宋_GBK" w:cs="Times New Roman"/>
          <w:kern w:val="32"/>
          <w:sz w:val="32"/>
          <w:szCs w:val="32"/>
        </w:rPr>
        <w:t>，</w:t>
      </w:r>
      <w:r>
        <w:rPr>
          <w:rFonts w:ascii="Times New Roman" w:hAnsi="Times New Roman" w:eastAsia="方正仿宋_GBK" w:cs="Times New Roman"/>
          <w:kern w:val="32"/>
          <w:sz w:val="32"/>
          <w:szCs w:val="32"/>
        </w:rPr>
        <w:t>服务企业群众效果</w:t>
      </w:r>
      <w:r>
        <w:rPr>
          <w:rFonts w:hint="eastAsia" w:ascii="Times New Roman" w:hAnsi="Times New Roman" w:eastAsia="方正仿宋_GBK" w:cs="Times New Roman"/>
          <w:kern w:val="32"/>
          <w:sz w:val="32"/>
          <w:szCs w:val="32"/>
        </w:rPr>
        <w:t>还</w:t>
      </w:r>
      <w:r>
        <w:rPr>
          <w:rFonts w:ascii="Times New Roman" w:hAnsi="Times New Roman" w:eastAsia="方正仿宋_GBK" w:cs="Times New Roman"/>
          <w:kern w:val="32"/>
          <w:sz w:val="32"/>
          <w:szCs w:val="32"/>
        </w:rPr>
        <w:t>不</w:t>
      </w:r>
      <w:r>
        <w:rPr>
          <w:rFonts w:hint="eastAsia" w:ascii="Times New Roman" w:hAnsi="Times New Roman" w:eastAsia="方正仿宋_GBK" w:cs="Times New Roman"/>
          <w:kern w:val="32"/>
          <w:sz w:val="32"/>
          <w:szCs w:val="32"/>
        </w:rPr>
        <w:t>够</w:t>
      </w:r>
      <w:r>
        <w:rPr>
          <w:rFonts w:ascii="Times New Roman" w:hAnsi="Times New Roman" w:eastAsia="方正仿宋_GBK" w:cs="Times New Roman"/>
          <w:kern w:val="32"/>
          <w:sz w:val="32"/>
          <w:szCs w:val="32"/>
        </w:rPr>
        <w:t>明显</w:t>
      </w:r>
      <w:r>
        <w:rPr>
          <w:rFonts w:hint="eastAsia" w:ascii="Times New Roman" w:hAnsi="Times New Roman" w:eastAsia="方正仿宋_GBK" w:cs="Times New Roman"/>
          <w:kern w:val="32"/>
          <w:sz w:val="32"/>
          <w:szCs w:val="32"/>
        </w:rPr>
        <w:t>，</w:t>
      </w:r>
      <w:r>
        <w:rPr>
          <w:rFonts w:hint="eastAsia" w:eastAsia="方正仿宋_GBK" w:cs="Times New Roman"/>
          <w:kern w:val="32"/>
          <w:sz w:val="32"/>
          <w:szCs w:val="32"/>
          <w:lang w:eastAsia="zh-CN"/>
        </w:rPr>
        <w:t>尚</w:t>
      </w:r>
      <w:r>
        <w:rPr>
          <w:rFonts w:hint="default" w:ascii="Times New Roman" w:hAnsi="Times New Roman" w:eastAsia="方正仿宋_GBK" w:cs="Times New Roman"/>
          <w:sz w:val="32"/>
          <w:szCs w:val="32"/>
        </w:rPr>
        <w:t>存在不愿公开、不敢公开、不会公开现象。</w:t>
      </w:r>
      <w:r>
        <w:rPr>
          <w:rFonts w:ascii="Times New Roman" w:hAnsi="Times New Roman" w:eastAsia="方正仿宋_GBK" w:cs="Times New Roman"/>
          <w:kern w:val="32"/>
          <w:sz w:val="32"/>
          <w:szCs w:val="32"/>
        </w:rPr>
        <w:t>下一步，我区将在以下几个方面进行改进：</w:t>
      </w:r>
    </w:p>
    <w:p>
      <w:pPr>
        <w:numPr>
          <w:ilvl w:val="0"/>
          <w:numId w:val="0"/>
        </w:numPr>
        <w:spacing w:line="560" w:lineRule="exact"/>
        <w:ind w:firstLine="640" w:firstLineChars="200"/>
        <w:rPr>
          <w:rFonts w:hint="default" w:ascii="Times New Roman" w:hAnsi="Times New Roman" w:eastAsia="方正楷体_GBK" w:cs="Times New Roman"/>
          <w:sz w:val="32"/>
          <w:szCs w:val="32"/>
        </w:rPr>
      </w:pPr>
      <w:r>
        <w:rPr>
          <w:rFonts w:hint="eastAsia" w:eastAsia="方正楷体_GBK" w:cs="Times New Roman"/>
          <w:sz w:val="32"/>
          <w:szCs w:val="32"/>
          <w:lang w:eastAsia="zh-CN"/>
        </w:rPr>
        <w:t>（一）</w:t>
      </w:r>
      <w:r>
        <w:rPr>
          <w:rFonts w:hint="default" w:ascii="Times New Roman" w:hAnsi="Times New Roman" w:eastAsia="方正楷体_GBK" w:cs="Times New Roman"/>
          <w:sz w:val="32"/>
          <w:szCs w:val="32"/>
        </w:rPr>
        <w:t>切实提高政治站位，提质提效网站和政务新媒体建设。</w:t>
      </w:r>
      <w:r>
        <w:rPr>
          <w:rFonts w:hint="default" w:ascii="Times New Roman" w:hAnsi="Times New Roman" w:eastAsia="方正仿宋_GBK" w:cs="Times New Roman"/>
          <w:sz w:val="32"/>
          <w:szCs w:val="32"/>
        </w:rPr>
        <w:t>按照国务院办公厅有关政府网站和政务新媒体日常监管的要求，及时指导监督政府网站和政务新媒体的信息内容和功能建设，不断改进检查方式，推动检查工作实用化、常态化、长效化。通过建立联席会议、第三方监测制度，进一步压实工作责任，推动政府系统政务新媒体健康有序发展。</w:t>
      </w:r>
    </w:p>
    <w:p>
      <w:pPr>
        <w:spacing w:line="560" w:lineRule="exact"/>
        <w:ind w:firstLine="640" w:firstLineChars="200"/>
        <w:rPr>
          <w:rFonts w:hint="default" w:ascii="Times New Roman" w:hAnsi="Times New Roman" w:eastAsia="方正仿宋_GBK" w:cs="Times New Roman"/>
          <w:sz w:val="32"/>
          <w:szCs w:val="32"/>
        </w:rPr>
      </w:pPr>
      <w:r>
        <w:rPr>
          <w:rFonts w:hint="eastAsia" w:eastAsia="方正楷体_GBK" w:cs="Times New Roman"/>
          <w:sz w:val="32"/>
          <w:szCs w:val="32"/>
          <w:lang w:eastAsia="zh-CN"/>
        </w:rPr>
        <w:t>（二）</w:t>
      </w:r>
      <w:r>
        <w:rPr>
          <w:rFonts w:hint="default" w:ascii="Times New Roman" w:hAnsi="Times New Roman" w:eastAsia="方正楷体_GBK" w:cs="Times New Roman"/>
          <w:sz w:val="32"/>
          <w:szCs w:val="32"/>
        </w:rPr>
        <w:t>优化重组考核体系，持续强化压力传导。</w:t>
      </w:r>
      <w:r>
        <w:rPr>
          <w:rFonts w:hint="default" w:ascii="Times New Roman" w:hAnsi="Times New Roman" w:eastAsia="方正仿宋_GBK" w:cs="Times New Roman"/>
          <w:sz w:val="32"/>
          <w:szCs w:val="32"/>
        </w:rPr>
        <w:t>结合国办出台的政府网站与政务新媒体监管工作年度考核指标，将政务信息考核与政务公开、政府网站建设考核进行深度融合，</w:t>
      </w:r>
      <w:r>
        <w:rPr>
          <w:rFonts w:hint="eastAsia" w:eastAsia="方正仿宋_GBK" w:cs="Times New Roman"/>
          <w:sz w:val="32"/>
          <w:szCs w:val="32"/>
          <w:lang w:eastAsia="zh-CN"/>
        </w:rPr>
        <w:t>改进考核办法</w:t>
      </w:r>
      <w:r>
        <w:rPr>
          <w:rFonts w:hint="default" w:ascii="Times New Roman" w:hAnsi="Times New Roman" w:eastAsia="方正仿宋_GBK" w:cs="Times New Roman"/>
          <w:sz w:val="32"/>
          <w:szCs w:val="32"/>
        </w:rPr>
        <w:t>，优化</w:t>
      </w:r>
      <w:r>
        <w:rPr>
          <w:rFonts w:hint="eastAsia" w:eastAsia="方正仿宋_GBK" w:cs="Times New Roman"/>
          <w:sz w:val="32"/>
          <w:szCs w:val="32"/>
          <w:lang w:eastAsia="zh-CN"/>
        </w:rPr>
        <w:t>考核</w:t>
      </w:r>
      <w:r>
        <w:rPr>
          <w:rFonts w:hint="default" w:ascii="Times New Roman" w:hAnsi="Times New Roman" w:eastAsia="方正仿宋_GBK" w:cs="Times New Roman"/>
          <w:sz w:val="32"/>
          <w:szCs w:val="32"/>
        </w:rPr>
        <w:t>分值，建立完善季度通报和年度考核奖惩机制。</w:t>
      </w:r>
    </w:p>
    <w:p>
      <w:pPr>
        <w:spacing w:line="560" w:lineRule="exact"/>
        <w:ind w:firstLine="640" w:firstLineChars="200"/>
        <w:rPr>
          <w:rFonts w:hint="default" w:ascii="Times New Roman" w:hAnsi="Times New Roman" w:eastAsia="方正仿宋_GBK" w:cs="Times New Roman"/>
          <w:sz w:val="32"/>
          <w:szCs w:val="32"/>
          <w:lang w:eastAsia="zh-CN"/>
        </w:rPr>
      </w:pPr>
      <w:r>
        <w:rPr>
          <w:rFonts w:hint="eastAsia" w:eastAsia="方正楷体_GBK" w:cs="Times New Roman"/>
          <w:sz w:val="32"/>
          <w:szCs w:val="32"/>
          <w:lang w:eastAsia="zh-CN"/>
        </w:rPr>
        <w:t>（三）</w:t>
      </w:r>
      <w:r>
        <w:rPr>
          <w:rFonts w:hint="default" w:ascii="Times New Roman" w:hAnsi="Times New Roman" w:eastAsia="方正楷体_GBK" w:cs="Times New Roman"/>
          <w:sz w:val="32"/>
          <w:szCs w:val="32"/>
        </w:rPr>
        <w:t>完善公开制度规范，着力提升公开质量。</w:t>
      </w:r>
      <w:r>
        <w:rPr>
          <w:rFonts w:hint="default" w:ascii="Times New Roman" w:hAnsi="Times New Roman" w:eastAsia="方正仿宋_GBK" w:cs="Times New Roman"/>
          <w:sz w:val="32"/>
          <w:szCs w:val="32"/>
        </w:rPr>
        <w:t>根据新出台的《</w:t>
      </w:r>
      <w:r>
        <w:rPr>
          <w:rFonts w:hint="eastAsia" w:eastAsia="方正仿宋_GBK" w:cs="Times New Roman"/>
          <w:sz w:val="32"/>
          <w:szCs w:val="32"/>
          <w:lang w:eastAsia="zh-CN"/>
        </w:rPr>
        <w:t>政府</w:t>
      </w:r>
      <w:r>
        <w:rPr>
          <w:rFonts w:hint="default" w:ascii="Times New Roman" w:hAnsi="Times New Roman" w:eastAsia="方正仿宋_GBK" w:cs="Times New Roman"/>
          <w:sz w:val="32"/>
          <w:szCs w:val="32"/>
        </w:rPr>
        <w:t>信息公开条例》，指导各部门围绕企业和群众最关心最直接最现实的利益问题，加大行政决策、行政执法、办事服务公开和政策发布解读回应，推动政务公开由数量型向质量型转变</w:t>
      </w:r>
      <w:r>
        <w:rPr>
          <w:rFonts w:hint="eastAsia" w:eastAsia="方正仿宋_GBK" w:cs="Times New Roman"/>
          <w:sz w:val="32"/>
          <w:szCs w:val="32"/>
          <w:lang w:eastAsia="zh-CN"/>
        </w:rPr>
        <w:t>。</w:t>
      </w:r>
    </w:p>
    <w:sectPr>
      <w:footerReference r:id="rId3" w:type="default"/>
      <w:footerReference r:id="rId4" w:type="even"/>
      <w:pgSz w:w="11906" w:h="16838"/>
      <w:pgMar w:top="2098" w:right="1474" w:bottom="1985" w:left="1588" w:header="851" w:footer="1247" w:gutter="0"/>
      <w:cols w:space="425" w:num="1"/>
      <w:docGrid w:linePitch="40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简体">
    <w:altName w:val="方正仿宋_GBK"/>
    <w:panose1 w:val="00000000000000000000"/>
    <w:charset w:val="86"/>
    <w:family w:val="auto"/>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书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Arial Unicode MS">
    <w:panose1 w:val="020B0604020202020204"/>
    <w:charset w:val="86"/>
    <w:family w:val="swiss"/>
    <w:pitch w:val="default"/>
    <w:sig w:usb0="FFFFFFFF" w:usb1="E9FFFFFF" w:usb2="0000003F" w:usb3="00000000" w:csb0="603F01FF" w:csb1="FFFF0000"/>
  </w:font>
  <w:font w:name="Cambria">
    <w:panose1 w:val="02040503050406030204"/>
    <w:charset w:val="00"/>
    <w:family w:val="roman"/>
    <w:pitch w:val="default"/>
    <w:sig w:usb0="E00002FF" w:usb1="400004FF" w:usb2="00000000" w:usb3="00000000" w:csb0="2000019F" w:csb1="00000000"/>
  </w:font>
  <w:font w:name="微软雅黑">
    <w:panose1 w:val="020B0503020204020204"/>
    <w:charset w:val="86"/>
    <w:family w:val="swiss"/>
    <w:pitch w:val="default"/>
    <w:sig w:usb0="80000287" w:usb1="280F3C52" w:usb2="00000016" w:usb3="00000000" w:csb0="0004001F" w:csb1="00000000"/>
  </w:font>
  <w:font w:name="方正楷体_GBK">
    <w:panose1 w:val="03000509000000000000"/>
    <w:charset w:val="86"/>
    <w:family w:val="script"/>
    <w:pitch w:val="default"/>
    <w:sig w:usb0="00000001" w:usb1="080E0000" w:usb2="00000000" w:usb3="00000000" w:csb0="00040000" w:csb1="00000000"/>
  </w:font>
  <w:font w:name="方正楷体简体">
    <w:altName w:val="宋体"/>
    <w:panose1 w:val="00000000000000000000"/>
    <w:charset w:val="86"/>
    <w:family w:val="script"/>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eastAsia="方正仿宋_GBK"/>
        <w:sz w:val="28"/>
        <w:szCs w:val="28"/>
      </w:rPr>
    </w:pPr>
    <w:r>
      <w:rPr>
        <w:rFonts w:eastAsia="方正仿宋_GBK"/>
        <w:sz w:val="28"/>
        <w:szCs w:val="28"/>
      </w:rPr>
      <w:t xml:space="preserve">— </w:t>
    </w:r>
    <w:r>
      <w:rPr>
        <w:rStyle w:val="21"/>
        <w:rFonts w:eastAsia="方正仿宋_GBK"/>
        <w:sz w:val="28"/>
        <w:szCs w:val="28"/>
      </w:rPr>
      <w:fldChar w:fldCharType="begin"/>
    </w:r>
    <w:r>
      <w:rPr>
        <w:rStyle w:val="21"/>
        <w:rFonts w:eastAsia="方正仿宋_GBK"/>
        <w:sz w:val="28"/>
        <w:szCs w:val="28"/>
      </w:rPr>
      <w:instrText xml:space="preserve"> PAGE </w:instrText>
    </w:r>
    <w:r>
      <w:rPr>
        <w:rStyle w:val="21"/>
        <w:rFonts w:eastAsia="方正仿宋_GBK"/>
        <w:sz w:val="28"/>
        <w:szCs w:val="28"/>
      </w:rPr>
      <w:fldChar w:fldCharType="separate"/>
    </w:r>
    <w:r>
      <w:rPr>
        <w:rStyle w:val="21"/>
        <w:rFonts w:eastAsia="方正仿宋_GBK"/>
        <w:sz w:val="28"/>
        <w:szCs w:val="28"/>
      </w:rPr>
      <w:t>9</w:t>
    </w:r>
    <w:r>
      <w:rPr>
        <w:rStyle w:val="21"/>
        <w:rFonts w:eastAsia="方正仿宋_GBK"/>
        <w:sz w:val="28"/>
        <w:szCs w:val="28"/>
      </w:rPr>
      <w:fldChar w:fldCharType="end"/>
    </w:r>
    <w:r>
      <w:rPr>
        <w:rFonts w:eastAsia="方正仿宋_GBK"/>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eastAsia="方正仿宋_GBK"/>
        <w:sz w:val="28"/>
      </w:rPr>
    </w:pPr>
    <w:r>
      <w:rPr>
        <w:rFonts w:eastAsia="方正仿宋_GBK"/>
        <w:sz w:val="28"/>
      </w:rPr>
      <w:t xml:space="preserve">— </w:t>
    </w:r>
    <w:r>
      <w:rPr>
        <w:rStyle w:val="21"/>
        <w:sz w:val="28"/>
      </w:rPr>
      <w:fldChar w:fldCharType="begin"/>
    </w:r>
    <w:r>
      <w:rPr>
        <w:rStyle w:val="21"/>
        <w:sz w:val="28"/>
      </w:rPr>
      <w:instrText xml:space="preserve"> PAGE </w:instrText>
    </w:r>
    <w:r>
      <w:rPr>
        <w:rStyle w:val="21"/>
        <w:sz w:val="28"/>
      </w:rPr>
      <w:fldChar w:fldCharType="separate"/>
    </w:r>
    <w:r>
      <w:rPr>
        <w:rStyle w:val="21"/>
        <w:sz w:val="28"/>
      </w:rPr>
      <w:t>10</w:t>
    </w:r>
    <w:r>
      <w:rPr>
        <w:rStyle w:val="21"/>
        <w:sz w:val="28"/>
      </w:rPr>
      <w:fldChar w:fldCharType="end"/>
    </w:r>
    <w:r>
      <w:rPr>
        <w:rFonts w:eastAsia="方正仿宋_GBK"/>
        <w:sz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5805CD"/>
    <w:multiLevelType w:val="singleLevel"/>
    <w:tmpl w:val="895805CD"/>
    <w:lvl w:ilvl="0" w:tentative="0">
      <w:start w:val="1"/>
      <w:numFmt w:val="chineseCounting"/>
      <w:suff w:val="nothing"/>
      <w:lvlText w:val="（%1）"/>
      <w:lvlJc w:val="left"/>
      <w:rPr>
        <w:rFonts w:hint="eastAsia"/>
      </w:rPr>
    </w:lvl>
  </w:abstractNum>
  <w:abstractNum w:abstractNumId="1">
    <w:nsid w:val="AD17CCF2"/>
    <w:multiLevelType w:val="singleLevel"/>
    <w:tmpl w:val="AD17CCF2"/>
    <w:lvl w:ilvl="0" w:tentative="0">
      <w:start w:val="2"/>
      <w:numFmt w:val="chineseCounting"/>
      <w:suff w:val="nothing"/>
      <w:lvlText w:val="（%1）"/>
      <w:lvlJc w:val="left"/>
      <w:rPr>
        <w:rFonts w:hint="eastAsia"/>
      </w:rPr>
    </w:lvl>
  </w:abstractNum>
  <w:abstractNum w:abstractNumId="2">
    <w:nsid w:val="0DC6D0F0"/>
    <w:multiLevelType w:val="singleLevel"/>
    <w:tmpl w:val="0DC6D0F0"/>
    <w:lvl w:ilvl="0" w:tentative="0">
      <w:start w:val="1"/>
      <w:numFmt w:val="decimal"/>
      <w:suff w:val="space"/>
      <w:lvlText w:val="%1."/>
      <w:lvlJc w:val="left"/>
      <w:pPr>
        <w:ind w:left="760" w:leftChars="0" w:firstLine="0" w:firstLineChars="0"/>
      </w:pPr>
    </w:lvl>
  </w:abstractNum>
  <w:abstractNum w:abstractNumId="3">
    <w:nsid w:val="5900B701"/>
    <w:multiLevelType w:val="singleLevel"/>
    <w:tmpl w:val="5900B701"/>
    <w:lvl w:ilvl="0" w:tentative="0">
      <w:start w:val="1"/>
      <w:numFmt w:val="decimal"/>
      <w:suff w:val="space"/>
      <w:lvlText w:val="%1."/>
      <w:lvlJc w:val="left"/>
    </w:lvl>
  </w:abstractNum>
  <w:abstractNum w:abstractNumId="4">
    <w:nsid w:val="6A94B29D"/>
    <w:multiLevelType w:val="singleLevel"/>
    <w:tmpl w:val="6A94B29D"/>
    <w:lvl w:ilvl="0" w:tentative="0">
      <w:start w:val="1"/>
      <w:numFmt w:val="decimal"/>
      <w:suff w:val="space"/>
      <w:lvlText w:val="%1."/>
      <w:lvlJc w:val="left"/>
    </w:lvl>
  </w:abstractNum>
  <w:num w:numId="1">
    <w:abstractNumId w:val="0"/>
  </w:num>
  <w:num w:numId="2">
    <w:abstractNumId w:val="2"/>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NotTrackMoves/>
  <w:attachedTemplate r:id="rId1"/>
  <w:documentProtection w:enforcement="0"/>
  <w:defaultTabStop w:val="420"/>
  <w:evenAndOddHeaders w:val="1"/>
  <w:drawingGridHorizontalSpacing w:val="150"/>
  <w:drawingGridVerticalSpacing w:val="204"/>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1E7D"/>
    <w:rsid w:val="000248FB"/>
    <w:rsid w:val="00053D70"/>
    <w:rsid w:val="0005431B"/>
    <w:rsid w:val="000629D5"/>
    <w:rsid w:val="00083321"/>
    <w:rsid w:val="000849B1"/>
    <w:rsid w:val="000A4BA1"/>
    <w:rsid w:val="000E5525"/>
    <w:rsid w:val="000E687F"/>
    <w:rsid w:val="00110E6A"/>
    <w:rsid w:val="00125EFE"/>
    <w:rsid w:val="001334A6"/>
    <w:rsid w:val="0015722E"/>
    <w:rsid w:val="001601CC"/>
    <w:rsid w:val="001657D9"/>
    <w:rsid w:val="001702B3"/>
    <w:rsid w:val="00180D20"/>
    <w:rsid w:val="0021192C"/>
    <w:rsid w:val="00226CB8"/>
    <w:rsid w:val="00254319"/>
    <w:rsid w:val="0028096E"/>
    <w:rsid w:val="00280972"/>
    <w:rsid w:val="003277EF"/>
    <w:rsid w:val="00336EC0"/>
    <w:rsid w:val="00342DED"/>
    <w:rsid w:val="00373821"/>
    <w:rsid w:val="0038598E"/>
    <w:rsid w:val="00394C83"/>
    <w:rsid w:val="00397B33"/>
    <w:rsid w:val="003B2CD6"/>
    <w:rsid w:val="003C18C9"/>
    <w:rsid w:val="003C6684"/>
    <w:rsid w:val="003D1E7D"/>
    <w:rsid w:val="0040243F"/>
    <w:rsid w:val="00412888"/>
    <w:rsid w:val="004562ED"/>
    <w:rsid w:val="00463AC8"/>
    <w:rsid w:val="00483D9F"/>
    <w:rsid w:val="004E7F68"/>
    <w:rsid w:val="004F37FF"/>
    <w:rsid w:val="00581149"/>
    <w:rsid w:val="00590CA6"/>
    <w:rsid w:val="005B43C9"/>
    <w:rsid w:val="005D643A"/>
    <w:rsid w:val="005E2830"/>
    <w:rsid w:val="005E73EA"/>
    <w:rsid w:val="005F3843"/>
    <w:rsid w:val="00600DFA"/>
    <w:rsid w:val="00622C5A"/>
    <w:rsid w:val="00632B93"/>
    <w:rsid w:val="006546F3"/>
    <w:rsid w:val="00692988"/>
    <w:rsid w:val="006A155D"/>
    <w:rsid w:val="006B3B16"/>
    <w:rsid w:val="0070270E"/>
    <w:rsid w:val="00764DD1"/>
    <w:rsid w:val="00782204"/>
    <w:rsid w:val="007E46FF"/>
    <w:rsid w:val="008025E4"/>
    <w:rsid w:val="008257A5"/>
    <w:rsid w:val="00830D28"/>
    <w:rsid w:val="008414CF"/>
    <w:rsid w:val="00842205"/>
    <w:rsid w:val="008470A0"/>
    <w:rsid w:val="00852403"/>
    <w:rsid w:val="00883409"/>
    <w:rsid w:val="00895F01"/>
    <w:rsid w:val="008E6586"/>
    <w:rsid w:val="00907D80"/>
    <w:rsid w:val="0091393B"/>
    <w:rsid w:val="00914EB3"/>
    <w:rsid w:val="009370BE"/>
    <w:rsid w:val="00941313"/>
    <w:rsid w:val="0095547A"/>
    <w:rsid w:val="00985044"/>
    <w:rsid w:val="00985B82"/>
    <w:rsid w:val="009C1765"/>
    <w:rsid w:val="009D5019"/>
    <w:rsid w:val="009F4CF0"/>
    <w:rsid w:val="009F711D"/>
    <w:rsid w:val="00A30B08"/>
    <w:rsid w:val="00A662A4"/>
    <w:rsid w:val="00A67820"/>
    <w:rsid w:val="00AB6E8A"/>
    <w:rsid w:val="00AD74DD"/>
    <w:rsid w:val="00B04224"/>
    <w:rsid w:val="00B127AC"/>
    <w:rsid w:val="00B16BE3"/>
    <w:rsid w:val="00BA5537"/>
    <w:rsid w:val="00BC1527"/>
    <w:rsid w:val="00BC2AD0"/>
    <w:rsid w:val="00BE5E49"/>
    <w:rsid w:val="00C30630"/>
    <w:rsid w:val="00C37A1A"/>
    <w:rsid w:val="00CD5C76"/>
    <w:rsid w:val="00CD6781"/>
    <w:rsid w:val="00CF21DF"/>
    <w:rsid w:val="00CF5661"/>
    <w:rsid w:val="00D06789"/>
    <w:rsid w:val="00D105CF"/>
    <w:rsid w:val="00D25009"/>
    <w:rsid w:val="00D32125"/>
    <w:rsid w:val="00D338A9"/>
    <w:rsid w:val="00D654CA"/>
    <w:rsid w:val="00D70B69"/>
    <w:rsid w:val="00D75591"/>
    <w:rsid w:val="00DA1B13"/>
    <w:rsid w:val="00DE1C24"/>
    <w:rsid w:val="00E432B0"/>
    <w:rsid w:val="00E74FC9"/>
    <w:rsid w:val="00E80F69"/>
    <w:rsid w:val="00E84A9B"/>
    <w:rsid w:val="00EA3D0C"/>
    <w:rsid w:val="00EC7F45"/>
    <w:rsid w:val="00F11960"/>
    <w:rsid w:val="00F257D5"/>
    <w:rsid w:val="00F4468B"/>
    <w:rsid w:val="00F45E6D"/>
    <w:rsid w:val="00F56081"/>
    <w:rsid w:val="00F64484"/>
    <w:rsid w:val="00F86574"/>
    <w:rsid w:val="00FC471A"/>
    <w:rsid w:val="122002B6"/>
    <w:rsid w:val="217C7A24"/>
    <w:rsid w:val="223D0D84"/>
    <w:rsid w:val="2D494868"/>
    <w:rsid w:val="2EC23612"/>
    <w:rsid w:val="43F24141"/>
    <w:rsid w:val="4632109D"/>
    <w:rsid w:val="57316FE7"/>
    <w:rsid w:val="60551CCC"/>
    <w:rsid w:val="634B42D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qFormat="1" w:unhideWhenUsed="0" w:uiPriority="99" w:name="Normal Indent"/>
    <w:lsdException w:uiPriority="99" w:name="footnote text"/>
    <w:lsdException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99" w:semiHidden="0" w:name="Title"/>
    <w:lsdException w:uiPriority="99" w:name="Closing"/>
    <w:lsdException w:uiPriority="99" w:name="Signature"/>
    <w:lsdException w:qFormat="1" w:uiPriority="1" w:name="Default Paragraph Font"/>
    <w:lsdException w:qFormat="1" w:unhideWhenUsed="0" w:uiPriority="99" w:name="Body Text"/>
    <w:lsdException w:qFormat="1" w:unhideWhenUsed="0"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99" w:name="Date"/>
    <w:lsdException w:uiPriority="99" w:name="Body Text First Indent"/>
    <w:lsdException w:uiPriority="99" w:name="Body Text First Indent 2"/>
    <w:lsdException w:uiPriority="99" w:name="Note Heading"/>
    <w:lsdException w:qFormat="1" w:unhideWhenUsed="0" w:uiPriority="99" w:name="Body Text 2"/>
    <w:lsdException w:qFormat="1" w:unhideWhenUsed="0" w:uiPriority="99" w:name="Body Text 3"/>
    <w:lsdException w:qFormat="1" w:unhideWhenUsed="0" w:uiPriority="99" w:name="Body Text Indent 2"/>
    <w:lsdException w:qFormat="1" w:unhideWhenUsed="0" w:uiPriority="99" w:name="Body Text Indent 3"/>
    <w:lsdException w:qFormat="1" w:unhideWhenUsed="0" w:uiPriority="99" w:name="Block Text"/>
    <w:lsdException w:qFormat="1" w:unhideWhenUsed="0" w:uiPriority="99" w:name="Hyperlink"/>
    <w:lsdException w:qFormat="1" w:unhideWhenUsed="0" w:uiPriority="99" w:name="FollowedHyperlink"/>
    <w:lsdException w:qFormat="1" w:unhideWhenUsed="0" w:uiPriority="99" w:semiHidden="0" w:name="Strong"/>
    <w:lsdException w:qFormat="1" w:unhideWhenUsed="0" w:uiPriority="0" w:semiHidden="0" w:name="Emphasis" w:locked="1"/>
    <w:lsdException w:uiPriority="99" w:name="Document Map"/>
    <w:lsdException w:qFormat="1" w:unhideWhenUsed="0"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简体" w:cs="Times New Roman"/>
      <w:kern w:val="2"/>
      <w:sz w:val="30"/>
      <w:lang w:val="en-US" w:eastAsia="zh-CN" w:bidi="ar-SA"/>
    </w:rPr>
  </w:style>
  <w:style w:type="paragraph" w:styleId="2">
    <w:name w:val="heading 1"/>
    <w:basedOn w:val="1"/>
    <w:next w:val="1"/>
    <w:link w:val="24"/>
    <w:qFormat/>
    <w:uiPriority w:val="99"/>
    <w:pPr>
      <w:ind w:firstLine="200" w:firstLineChars="200"/>
      <w:outlineLvl w:val="0"/>
    </w:pPr>
    <w:rPr>
      <w:rFonts w:eastAsia="方正黑体_GBK"/>
      <w:bCs/>
      <w:kern w:val="44"/>
      <w:sz w:val="32"/>
      <w:szCs w:val="44"/>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semiHidden/>
    <w:qFormat/>
    <w:uiPriority w:val="99"/>
    <w:pPr>
      <w:ind w:firstLine="420" w:firstLineChars="200"/>
    </w:pPr>
    <w:rPr>
      <w:rFonts w:eastAsia="宋体"/>
      <w:sz w:val="21"/>
      <w:szCs w:val="24"/>
    </w:rPr>
  </w:style>
  <w:style w:type="paragraph" w:styleId="4">
    <w:name w:val="Body Text 3"/>
    <w:basedOn w:val="1"/>
    <w:link w:val="98"/>
    <w:semiHidden/>
    <w:qFormat/>
    <w:uiPriority w:val="99"/>
    <w:pPr>
      <w:spacing w:line="324" w:lineRule="auto"/>
    </w:pPr>
    <w:rPr>
      <w:rFonts w:eastAsia="方正仿宋_GBK"/>
      <w:sz w:val="32"/>
      <w:szCs w:val="32"/>
    </w:rPr>
  </w:style>
  <w:style w:type="paragraph" w:styleId="5">
    <w:name w:val="Body Text"/>
    <w:basedOn w:val="1"/>
    <w:link w:val="34"/>
    <w:semiHidden/>
    <w:qFormat/>
    <w:uiPriority w:val="99"/>
    <w:pPr>
      <w:spacing w:line="228" w:lineRule="auto"/>
      <w:jc w:val="center"/>
    </w:pPr>
    <w:rPr>
      <w:rFonts w:eastAsia="方正书宋_GBK"/>
      <w:w w:val="90"/>
      <w:sz w:val="18"/>
      <w:szCs w:val="22"/>
    </w:rPr>
  </w:style>
  <w:style w:type="paragraph" w:styleId="6">
    <w:name w:val="Body Text Indent"/>
    <w:basedOn w:val="1"/>
    <w:link w:val="96"/>
    <w:semiHidden/>
    <w:qFormat/>
    <w:uiPriority w:val="99"/>
    <w:pPr>
      <w:adjustRightInd w:val="0"/>
      <w:snapToGrid w:val="0"/>
      <w:spacing w:line="283" w:lineRule="auto"/>
      <w:ind w:firstLine="640" w:firstLineChars="200"/>
    </w:pPr>
    <w:rPr>
      <w:rFonts w:ascii="方正仿宋_GBK" w:eastAsia="方正仿宋_GBK"/>
      <w:bCs/>
      <w:sz w:val="32"/>
      <w:szCs w:val="32"/>
    </w:rPr>
  </w:style>
  <w:style w:type="paragraph" w:styleId="7">
    <w:name w:val="Block Text"/>
    <w:basedOn w:val="1"/>
    <w:semiHidden/>
    <w:qFormat/>
    <w:uiPriority w:val="99"/>
    <w:pPr>
      <w:spacing w:line="288" w:lineRule="auto"/>
      <w:ind w:left="1106" w:right="330" w:hanging="806"/>
    </w:pPr>
    <w:rPr>
      <w:sz w:val="28"/>
    </w:rPr>
  </w:style>
  <w:style w:type="paragraph" w:styleId="8">
    <w:name w:val="Plain Text"/>
    <w:basedOn w:val="1"/>
    <w:link w:val="25"/>
    <w:semiHidden/>
    <w:qFormat/>
    <w:uiPriority w:val="99"/>
    <w:pPr>
      <w:widowControl/>
      <w:spacing w:before="100" w:beforeAutospacing="1" w:after="100" w:afterAutospacing="1"/>
      <w:jc w:val="left"/>
    </w:pPr>
    <w:rPr>
      <w:rFonts w:ascii="宋体" w:hAnsi="宋体" w:eastAsia="宋体"/>
      <w:kern w:val="0"/>
      <w:sz w:val="24"/>
      <w:szCs w:val="24"/>
    </w:rPr>
  </w:style>
  <w:style w:type="paragraph" w:styleId="9">
    <w:name w:val="Date"/>
    <w:basedOn w:val="1"/>
    <w:next w:val="1"/>
    <w:link w:val="29"/>
    <w:semiHidden/>
    <w:qFormat/>
    <w:uiPriority w:val="99"/>
    <w:pPr>
      <w:ind w:left="100" w:leftChars="2500"/>
    </w:pPr>
    <w:rPr>
      <w:rFonts w:ascii="仿宋_GB2312" w:eastAsia="仿宋_GB2312"/>
      <w:sz w:val="32"/>
      <w:szCs w:val="24"/>
    </w:rPr>
  </w:style>
  <w:style w:type="paragraph" w:styleId="10">
    <w:name w:val="Body Text Indent 2"/>
    <w:basedOn w:val="1"/>
    <w:link w:val="35"/>
    <w:semiHidden/>
    <w:qFormat/>
    <w:uiPriority w:val="99"/>
    <w:pPr>
      <w:spacing w:line="288" w:lineRule="auto"/>
      <w:ind w:left="868" w:hanging="868"/>
    </w:pPr>
    <w:rPr>
      <w:sz w:val="28"/>
    </w:rPr>
  </w:style>
  <w:style w:type="paragraph" w:styleId="11">
    <w:name w:val="Balloon Text"/>
    <w:basedOn w:val="1"/>
    <w:link w:val="33"/>
    <w:semiHidden/>
    <w:qFormat/>
    <w:uiPriority w:val="99"/>
    <w:rPr>
      <w:sz w:val="18"/>
      <w:szCs w:val="18"/>
    </w:rPr>
  </w:style>
  <w:style w:type="paragraph" w:styleId="12">
    <w:name w:val="footer"/>
    <w:basedOn w:val="1"/>
    <w:link w:val="26"/>
    <w:semiHidden/>
    <w:qFormat/>
    <w:uiPriority w:val="99"/>
    <w:pPr>
      <w:tabs>
        <w:tab w:val="center" w:pos="4153"/>
        <w:tab w:val="right" w:pos="8306"/>
      </w:tabs>
      <w:snapToGrid w:val="0"/>
      <w:jc w:val="left"/>
    </w:pPr>
    <w:rPr>
      <w:sz w:val="18"/>
      <w:szCs w:val="18"/>
    </w:rPr>
  </w:style>
  <w:style w:type="paragraph" w:styleId="13">
    <w:name w:val="header"/>
    <w:basedOn w:val="1"/>
    <w:link w:val="27"/>
    <w:semiHidden/>
    <w:qFormat/>
    <w:uiPriority w:val="99"/>
    <w:pPr>
      <w:pBdr>
        <w:bottom w:val="single" w:color="auto" w:sz="6" w:space="1"/>
      </w:pBdr>
      <w:tabs>
        <w:tab w:val="center" w:pos="4153"/>
        <w:tab w:val="right" w:pos="8306"/>
      </w:tabs>
      <w:snapToGrid w:val="0"/>
      <w:jc w:val="center"/>
    </w:pPr>
    <w:rPr>
      <w:rFonts w:ascii="Calibri" w:hAnsi="Calibri" w:eastAsia="宋体"/>
      <w:sz w:val="18"/>
      <w:szCs w:val="18"/>
    </w:rPr>
  </w:style>
  <w:style w:type="paragraph" w:styleId="14">
    <w:name w:val="Body Text Indent 3"/>
    <w:basedOn w:val="1"/>
    <w:link w:val="108"/>
    <w:semiHidden/>
    <w:qFormat/>
    <w:uiPriority w:val="99"/>
    <w:pPr>
      <w:snapToGrid w:val="0"/>
      <w:spacing w:line="276" w:lineRule="auto"/>
      <w:ind w:left="1602" w:leftChars="214" w:hanging="960" w:hangingChars="300"/>
    </w:pPr>
    <w:rPr>
      <w:rFonts w:eastAsia="方正仿宋_GBK"/>
      <w:sz w:val="32"/>
      <w:szCs w:val="32"/>
    </w:rPr>
  </w:style>
  <w:style w:type="paragraph" w:styleId="15">
    <w:name w:val="Body Text 2"/>
    <w:basedOn w:val="1"/>
    <w:link w:val="97"/>
    <w:semiHidden/>
    <w:qFormat/>
    <w:uiPriority w:val="99"/>
    <w:pPr>
      <w:jc w:val="center"/>
    </w:pPr>
    <w:rPr>
      <w:rFonts w:eastAsia="方正小标宋_GBK"/>
      <w:sz w:val="44"/>
      <w:szCs w:val="36"/>
    </w:rPr>
  </w:style>
  <w:style w:type="paragraph" w:styleId="16">
    <w:name w:val="Normal (Web)"/>
    <w:basedOn w:val="1"/>
    <w:qFormat/>
    <w:uiPriority w:val="99"/>
    <w:pPr>
      <w:widowControl/>
      <w:spacing w:before="100" w:beforeAutospacing="1" w:after="100" w:afterAutospacing="1"/>
      <w:jc w:val="left"/>
    </w:pPr>
    <w:rPr>
      <w:rFonts w:ascii="Arial Unicode MS" w:hAnsi="Arial Unicode MS" w:eastAsia="宋体"/>
      <w:kern w:val="0"/>
      <w:sz w:val="24"/>
      <w:szCs w:val="24"/>
    </w:rPr>
  </w:style>
  <w:style w:type="paragraph" w:styleId="17">
    <w:name w:val="Title"/>
    <w:basedOn w:val="1"/>
    <w:next w:val="1"/>
    <w:link w:val="126"/>
    <w:qFormat/>
    <w:uiPriority w:val="99"/>
    <w:pPr>
      <w:adjustRightInd w:val="0"/>
      <w:snapToGrid w:val="0"/>
      <w:spacing w:line="288" w:lineRule="auto"/>
      <w:jc w:val="center"/>
      <w:outlineLvl w:val="0"/>
    </w:pPr>
    <w:rPr>
      <w:rFonts w:ascii="Cambria" w:hAnsi="Cambria" w:eastAsia="方正小标宋_GBK"/>
      <w:bCs/>
      <w:sz w:val="44"/>
      <w:szCs w:val="32"/>
    </w:rPr>
  </w:style>
  <w:style w:type="character" w:styleId="20">
    <w:name w:val="Strong"/>
    <w:qFormat/>
    <w:uiPriority w:val="99"/>
    <w:rPr>
      <w:rFonts w:cs="Times New Roman"/>
      <w:b/>
      <w:bCs/>
    </w:rPr>
  </w:style>
  <w:style w:type="character" w:styleId="21">
    <w:name w:val="page number"/>
    <w:semiHidden/>
    <w:qFormat/>
    <w:uiPriority w:val="99"/>
    <w:rPr>
      <w:rFonts w:cs="Times New Roman"/>
    </w:rPr>
  </w:style>
  <w:style w:type="character" w:styleId="22">
    <w:name w:val="FollowedHyperlink"/>
    <w:semiHidden/>
    <w:qFormat/>
    <w:uiPriority w:val="99"/>
    <w:rPr>
      <w:rFonts w:cs="Times New Roman"/>
      <w:color w:val="800080"/>
      <w:u w:val="single"/>
    </w:rPr>
  </w:style>
  <w:style w:type="character" w:styleId="23">
    <w:name w:val="Hyperlink"/>
    <w:semiHidden/>
    <w:qFormat/>
    <w:uiPriority w:val="99"/>
    <w:rPr>
      <w:rFonts w:cs="Times New Roman"/>
      <w:color w:val="0000FF"/>
      <w:u w:val="single"/>
    </w:rPr>
  </w:style>
  <w:style w:type="character" w:customStyle="1" w:styleId="24">
    <w:name w:val="标题 1 Char"/>
    <w:link w:val="2"/>
    <w:qFormat/>
    <w:uiPriority w:val="9"/>
    <w:rPr>
      <w:rFonts w:eastAsia="方正仿宋简体"/>
      <w:b/>
      <w:bCs/>
      <w:kern w:val="44"/>
      <w:sz w:val="44"/>
      <w:szCs w:val="44"/>
    </w:rPr>
  </w:style>
  <w:style w:type="character" w:customStyle="1" w:styleId="25">
    <w:name w:val="纯文本 Char"/>
    <w:link w:val="8"/>
    <w:semiHidden/>
    <w:qFormat/>
    <w:uiPriority w:val="99"/>
    <w:rPr>
      <w:rFonts w:ascii="宋体" w:hAnsi="Courier New" w:cs="Courier New"/>
      <w:szCs w:val="21"/>
    </w:rPr>
  </w:style>
  <w:style w:type="character" w:customStyle="1" w:styleId="26">
    <w:name w:val="页脚 Char"/>
    <w:link w:val="12"/>
    <w:semiHidden/>
    <w:qFormat/>
    <w:uiPriority w:val="99"/>
    <w:rPr>
      <w:rFonts w:eastAsia="方正仿宋简体"/>
      <w:sz w:val="18"/>
      <w:szCs w:val="18"/>
    </w:rPr>
  </w:style>
  <w:style w:type="character" w:customStyle="1" w:styleId="27">
    <w:name w:val="页眉 Char"/>
    <w:link w:val="13"/>
    <w:semiHidden/>
    <w:qFormat/>
    <w:uiPriority w:val="99"/>
    <w:rPr>
      <w:rFonts w:eastAsia="方正仿宋简体"/>
      <w:sz w:val="18"/>
      <w:szCs w:val="18"/>
    </w:rPr>
  </w:style>
  <w:style w:type="character" w:customStyle="1" w:styleId="28">
    <w:name w:val="Char Char2"/>
    <w:semiHidden/>
    <w:qFormat/>
    <w:locked/>
    <w:uiPriority w:val="99"/>
    <w:rPr>
      <w:rFonts w:ascii="Calibri" w:hAnsi="Calibri" w:eastAsia="宋体" w:cs="Times New Roman"/>
      <w:kern w:val="2"/>
      <w:sz w:val="18"/>
      <w:szCs w:val="18"/>
      <w:lang w:val="en-US" w:eastAsia="zh-CN" w:bidi="ar-SA"/>
    </w:rPr>
  </w:style>
  <w:style w:type="character" w:customStyle="1" w:styleId="29">
    <w:name w:val="日期 Char"/>
    <w:link w:val="9"/>
    <w:semiHidden/>
    <w:qFormat/>
    <w:uiPriority w:val="99"/>
    <w:rPr>
      <w:rFonts w:eastAsia="方正仿宋简体"/>
      <w:sz w:val="30"/>
      <w:szCs w:val="20"/>
    </w:rPr>
  </w:style>
  <w:style w:type="paragraph" w:customStyle="1" w:styleId="30">
    <w:name w:val="Char"/>
    <w:basedOn w:val="1"/>
    <w:qFormat/>
    <w:uiPriority w:val="99"/>
    <w:pPr>
      <w:spacing w:before="100" w:beforeAutospacing="1" w:after="100" w:afterAutospacing="1"/>
    </w:pPr>
    <w:rPr>
      <w:rFonts w:ascii="仿宋_GB2312" w:eastAsia="宋体"/>
      <w:b/>
      <w:sz w:val="21"/>
      <w:szCs w:val="32"/>
    </w:rPr>
  </w:style>
  <w:style w:type="paragraph" w:customStyle="1" w:styleId="31">
    <w:name w:val="Char Char Char Char"/>
    <w:basedOn w:val="1"/>
    <w:qFormat/>
    <w:uiPriority w:val="99"/>
    <w:pPr>
      <w:spacing w:line="288" w:lineRule="auto"/>
    </w:pPr>
    <w:rPr>
      <w:rFonts w:eastAsia="方正仿宋_GBK"/>
      <w:bCs/>
      <w:sz w:val="10"/>
      <w:szCs w:val="32"/>
    </w:rPr>
  </w:style>
  <w:style w:type="paragraph" w:customStyle="1" w:styleId="32">
    <w:name w:val="Char Char Char Char1"/>
    <w:basedOn w:val="1"/>
    <w:qFormat/>
    <w:uiPriority w:val="99"/>
    <w:rPr>
      <w:rFonts w:eastAsia="仿宋_GB2312"/>
      <w:szCs w:val="30"/>
    </w:rPr>
  </w:style>
  <w:style w:type="character" w:customStyle="1" w:styleId="33">
    <w:name w:val="批注框文本 Char"/>
    <w:link w:val="11"/>
    <w:semiHidden/>
    <w:qFormat/>
    <w:uiPriority w:val="99"/>
    <w:rPr>
      <w:rFonts w:eastAsia="方正仿宋简体"/>
      <w:sz w:val="0"/>
      <w:szCs w:val="0"/>
    </w:rPr>
  </w:style>
  <w:style w:type="character" w:customStyle="1" w:styleId="34">
    <w:name w:val="正文文本 Char"/>
    <w:link w:val="5"/>
    <w:semiHidden/>
    <w:qFormat/>
    <w:uiPriority w:val="99"/>
    <w:rPr>
      <w:rFonts w:eastAsia="方正仿宋简体"/>
      <w:sz w:val="30"/>
      <w:szCs w:val="20"/>
    </w:rPr>
  </w:style>
  <w:style w:type="character" w:customStyle="1" w:styleId="35">
    <w:name w:val="正文文本缩进 2 Char"/>
    <w:link w:val="10"/>
    <w:semiHidden/>
    <w:qFormat/>
    <w:uiPriority w:val="99"/>
    <w:rPr>
      <w:rFonts w:eastAsia="方正仿宋简体"/>
      <w:sz w:val="30"/>
      <w:szCs w:val="20"/>
    </w:rPr>
  </w:style>
  <w:style w:type="paragraph" w:customStyle="1" w:styleId="36">
    <w:name w:val="font5"/>
    <w:basedOn w:val="1"/>
    <w:qFormat/>
    <w:uiPriority w:val="99"/>
    <w:pPr>
      <w:widowControl/>
      <w:spacing w:before="100" w:beforeAutospacing="1" w:after="100" w:afterAutospacing="1"/>
      <w:jc w:val="left"/>
    </w:pPr>
    <w:rPr>
      <w:rFonts w:ascii="宋体" w:hAnsi="宋体" w:eastAsia="宋体"/>
      <w:kern w:val="0"/>
      <w:sz w:val="18"/>
      <w:szCs w:val="18"/>
    </w:rPr>
  </w:style>
  <w:style w:type="paragraph" w:customStyle="1" w:styleId="37">
    <w:name w:val="font6"/>
    <w:basedOn w:val="1"/>
    <w:qFormat/>
    <w:uiPriority w:val="99"/>
    <w:pPr>
      <w:widowControl/>
      <w:spacing w:before="100" w:beforeAutospacing="1" w:after="100" w:afterAutospacing="1"/>
      <w:jc w:val="left"/>
    </w:pPr>
    <w:rPr>
      <w:rFonts w:ascii="方正仿宋_GBK" w:hAnsi="Arial Unicode MS" w:eastAsia="方正仿宋_GBK"/>
      <w:kern w:val="0"/>
      <w:sz w:val="20"/>
    </w:rPr>
  </w:style>
  <w:style w:type="paragraph" w:customStyle="1" w:styleId="38">
    <w:name w:val="font7"/>
    <w:basedOn w:val="1"/>
    <w:qFormat/>
    <w:uiPriority w:val="99"/>
    <w:pPr>
      <w:widowControl/>
      <w:spacing w:before="100" w:beforeAutospacing="1" w:after="100" w:afterAutospacing="1"/>
      <w:jc w:val="left"/>
    </w:pPr>
    <w:rPr>
      <w:rFonts w:ascii="方正仿宋_GBK" w:hAnsi="Arial Unicode MS" w:eastAsia="方正仿宋_GBK"/>
      <w:kern w:val="0"/>
      <w:sz w:val="16"/>
      <w:szCs w:val="16"/>
    </w:rPr>
  </w:style>
  <w:style w:type="paragraph" w:customStyle="1" w:styleId="39">
    <w:name w:val="font8"/>
    <w:basedOn w:val="1"/>
    <w:qFormat/>
    <w:uiPriority w:val="99"/>
    <w:pPr>
      <w:widowControl/>
      <w:spacing w:before="100" w:beforeAutospacing="1" w:after="100" w:afterAutospacing="1"/>
      <w:jc w:val="left"/>
    </w:pPr>
    <w:rPr>
      <w:rFonts w:eastAsia="宋体"/>
      <w:kern w:val="0"/>
      <w:sz w:val="20"/>
    </w:rPr>
  </w:style>
  <w:style w:type="paragraph" w:customStyle="1" w:styleId="40">
    <w:name w:val="font9"/>
    <w:basedOn w:val="1"/>
    <w:qFormat/>
    <w:uiPriority w:val="99"/>
    <w:pPr>
      <w:widowControl/>
      <w:spacing w:before="100" w:beforeAutospacing="1" w:after="100" w:afterAutospacing="1"/>
      <w:jc w:val="left"/>
    </w:pPr>
    <w:rPr>
      <w:rFonts w:eastAsia="宋体"/>
      <w:kern w:val="0"/>
      <w:sz w:val="16"/>
      <w:szCs w:val="16"/>
    </w:rPr>
  </w:style>
  <w:style w:type="paragraph" w:customStyle="1" w:styleId="41">
    <w:name w:val="font10"/>
    <w:basedOn w:val="1"/>
    <w:qFormat/>
    <w:uiPriority w:val="99"/>
    <w:pPr>
      <w:widowControl/>
      <w:spacing w:before="100" w:beforeAutospacing="1" w:after="100" w:afterAutospacing="1"/>
      <w:jc w:val="left"/>
    </w:pPr>
    <w:rPr>
      <w:rFonts w:eastAsia="宋体"/>
      <w:b/>
      <w:bCs/>
      <w:kern w:val="0"/>
      <w:sz w:val="20"/>
    </w:rPr>
  </w:style>
  <w:style w:type="paragraph" w:customStyle="1" w:styleId="42">
    <w:name w:val="xl6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Arial Unicode MS" w:eastAsia="方正仿宋_GBK"/>
      <w:kern w:val="0"/>
      <w:sz w:val="20"/>
    </w:rPr>
  </w:style>
  <w:style w:type="paragraph" w:customStyle="1" w:styleId="43">
    <w:name w:val="xl6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Arial Unicode MS" w:eastAsia="方正仿宋_GBK"/>
      <w:kern w:val="0"/>
      <w:sz w:val="20"/>
    </w:rPr>
  </w:style>
  <w:style w:type="paragraph" w:customStyle="1" w:styleId="44">
    <w:name w:val="xl7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Arial Unicode MS" w:eastAsia="方正仿宋_GBK"/>
      <w:kern w:val="0"/>
      <w:sz w:val="16"/>
      <w:szCs w:val="16"/>
    </w:rPr>
  </w:style>
  <w:style w:type="paragraph" w:customStyle="1" w:styleId="45">
    <w:name w:val="xl7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Arial Unicode MS" w:eastAsia="方正仿宋_GBK"/>
      <w:kern w:val="0"/>
      <w:sz w:val="20"/>
    </w:rPr>
  </w:style>
  <w:style w:type="paragraph" w:customStyle="1" w:styleId="46">
    <w:name w:val="xl7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47">
    <w:name w:val="xl73"/>
    <w:basedOn w:val="1"/>
    <w:qFormat/>
    <w:uiPriority w:val="99"/>
    <w:pPr>
      <w:widowControl/>
      <w:spacing w:before="100" w:beforeAutospacing="1" w:after="100" w:afterAutospacing="1"/>
      <w:jc w:val="center"/>
      <w:textAlignment w:val="center"/>
    </w:pPr>
    <w:rPr>
      <w:rFonts w:eastAsia="宋体"/>
      <w:kern w:val="0"/>
      <w:sz w:val="20"/>
    </w:rPr>
  </w:style>
  <w:style w:type="paragraph" w:customStyle="1" w:styleId="48">
    <w:name w:val="xl74"/>
    <w:basedOn w:val="1"/>
    <w:qFormat/>
    <w:uiPriority w:val="99"/>
    <w:pPr>
      <w:widowControl/>
      <w:spacing w:before="100" w:beforeAutospacing="1" w:after="100" w:afterAutospacing="1"/>
      <w:jc w:val="left"/>
      <w:textAlignment w:val="center"/>
    </w:pPr>
    <w:rPr>
      <w:rFonts w:eastAsia="宋体"/>
      <w:kern w:val="0"/>
      <w:sz w:val="20"/>
    </w:rPr>
  </w:style>
  <w:style w:type="paragraph" w:customStyle="1" w:styleId="49">
    <w:name w:val="xl75"/>
    <w:basedOn w:val="1"/>
    <w:qFormat/>
    <w:uiPriority w:val="99"/>
    <w:pPr>
      <w:widowControl/>
      <w:spacing w:before="100" w:beforeAutospacing="1" w:after="100" w:afterAutospacing="1"/>
      <w:jc w:val="center"/>
      <w:textAlignment w:val="center"/>
    </w:pPr>
    <w:rPr>
      <w:rFonts w:eastAsia="宋体"/>
      <w:kern w:val="0"/>
      <w:sz w:val="20"/>
    </w:rPr>
  </w:style>
  <w:style w:type="paragraph" w:customStyle="1" w:styleId="50">
    <w:name w:val="xl7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51">
    <w:name w:val="xl7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b/>
      <w:bCs/>
      <w:kern w:val="0"/>
      <w:sz w:val="20"/>
    </w:rPr>
  </w:style>
  <w:style w:type="paragraph" w:customStyle="1" w:styleId="52">
    <w:name w:val="xl7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b/>
      <w:bCs/>
      <w:kern w:val="0"/>
      <w:sz w:val="20"/>
    </w:rPr>
  </w:style>
  <w:style w:type="paragraph" w:customStyle="1" w:styleId="53">
    <w:name w:val="xl79"/>
    <w:basedOn w:val="1"/>
    <w:qFormat/>
    <w:uiPriority w:val="99"/>
    <w:pPr>
      <w:widowControl/>
      <w:spacing w:before="100" w:beforeAutospacing="1" w:after="100" w:afterAutospacing="1"/>
      <w:jc w:val="center"/>
      <w:textAlignment w:val="center"/>
    </w:pPr>
    <w:rPr>
      <w:rFonts w:eastAsia="宋体"/>
      <w:b/>
      <w:bCs/>
      <w:kern w:val="0"/>
      <w:sz w:val="20"/>
    </w:rPr>
  </w:style>
  <w:style w:type="paragraph" w:customStyle="1" w:styleId="54">
    <w:name w:val="xl8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rPr>
  </w:style>
  <w:style w:type="paragraph" w:customStyle="1" w:styleId="55">
    <w:name w:val="xl8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b/>
      <w:bCs/>
      <w:kern w:val="0"/>
      <w:sz w:val="20"/>
    </w:rPr>
  </w:style>
  <w:style w:type="paragraph" w:customStyle="1" w:styleId="56">
    <w:name w:val="xl8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Arial Unicode MS" w:eastAsia="方正仿宋_GBK"/>
      <w:kern w:val="0"/>
      <w:sz w:val="20"/>
    </w:rPr>
  </w:style>
  <w:style w:type="paragraph" w:customStyle="1" w:styleId="57">
    <w:name w:val="xl83"/>
    <w:basedOn w:val="1"/>
    <w:qFormat/>
    <w:uiPriority w:val="99"/>
    <w:pPr>
      <w:widowControl/>
      <w:spacing w:before="100" w:beforeAutospacing="1" w:after="100" w:afterAutospacing="1"/>
      <w:jc w:val="center"/>
      <w:textAlignment w:val="center"/>
    </w:pPr>
    <w:rPr>
      <w:rFonts w:eastAsia="宋体"/>
      <w:kern w:val="0"/>
      <w:sz w:val="20"/>
    </w:rPr>
  </w:style>
  <w:style w:type="paragraph" w:customStyle="1" w:styleId="58">
    <w:name w:val="xl84"/>
    <w:basedOn w:val="1"/>
    <w:qFormat/>
    <w:uiPriority w:val="99"/>
    <w:pPr>
      <w:widowControl/>
      <w:spacing w:before="100" w:beforeAutospacing="1" w:after="100" w:afterAutospacing="1"/>
      <w:jc w:val="center"/>
      <w:textAlignment w:val="center"/>
    </w:pPr>
    <w:rPr>
      <w:rFonts w:ascii="方正小标宋_GBK" w:hAnsi="Arial Unicode MS" w:eastAsia="方正小标宋_GBK"/>
      <w:kern w:val="0"/>
      <w:sz w:val="20"/>
    </w:rPr>
  </w:style>
  <w:style w:type="paragraph" w:customStyle="1" w:styleId="59">
    <w:name w:val="xl8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60">
    <w:name w:val="xl8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Arial Unicode MS" w:eastAsia="方正仿宋_GBK"/>
      <w:kern w:val="0"/>
      <w:sz w:val="20"/>
    </w:rPr>
  </w:style>
  <w:style w:type="paragraph" w:customStyle="1" w:styleId="61">
    <w:name w:val="xl87"/>
    <w:basedOn w:val="1"/>
    <w:qFormat/>
    <w:uiPriority w:val="99"/>
    <w:pPr>
      <w:widowControl/>
      <w:spacing w:before="100" w:beforeAutospacing="1" w:after="100" w:afterAutospacing="1"/>
      <w:jc w:val="left"/>
      <w:textAlignment w:val="center"/>
    </w:pPr>
    <w:rPr>
      <w:rFonts w:eastAsia="宋体"/>
      <w:kern w:val="0"/>
      <w:sz w:val="20"/>
    </w:rPr>
  </w:style>
  <w:style w:type="paragraph" w:customStyle="1" w:styleId="62">
    <w:name w:val="xl88"/>
    <w:basedOn w:val="1"/>
    <w:qFormat/>
    <w:uiPriority w:val="99"/>
    <w:pPr>
      <w:widowControl/>
      <w:spacing w:before="100" w:beforeAutospacing="1" w:after="100" w:afterAutospacing="1"/>
      <w:jc w:val="left"/>
      <w:textAlignment w:val="center"/>
    </w:pPr>
    <w:rPr>
      <w:rFonts w:eastAsia="宋体"/>
      <w:kern w:val="0"/>
      <w:sz w:val="20"/>
    </w:rPr>
  </w:style>
  <w:style w:type="paragraph" w:customStyle="1" w:styleId="63">
    <w:name w:val="xl89"/>
    <w:basedOn w:val="1"/>
    <w:qFormat/>
    <w:uiPriority w:val="99"/>
    <w:pPr>
      <w:widowControl/>
      <w:spacing w:before="100" w:beforeAutospacing="1" w:after="100" w:afterAutospacing="1"/>
      <w:jc w:val="left"/>
    </w:pPr>
    <w:rPr>
      <w:rFonts w:eastAsia="宋体"/>
      <w:kern w:val="0"/>
      <w:sz w:val="20"/>
    </w:rPr>
  </w:style>
  <w:style w:type="paragraph" w:customStyle="1" w:styleId="64">
    <w:name w:val="xl9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65">
    <w:name w:val="xl9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Arial Unicode MS" w:eastAsia="方正仿宋_GBK"/>
      <w:kern w:val="0"/>
      <w:sz w:val="20"/>
    </w:rPr>
  </w:style>
  <w:style w:type="paragraph" w:customStyle="1" w:styleId="66">
    <w:name w:val="xl9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67">
    <w:name w:val="xl9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Arial Unicode MS" w:eastAsia="方正仿宋_GBK"/>
      <w:kern w:val="0"/>
      <w:sz w:val="20"/>
    </w:rPr>
  </w:style>
  <w:style w:type="paragraph" w:customStyle="1" w:styleId="68">
    <w:name w:val="xl9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69">
    <w:name w:val="xl9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70">
    <w:name w:val="xl9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rPr>
  </w:style>
  <w:style w:type="paragraph" w:customStyle="1" w:styleId="71">
    <w:name w:val="xl9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Arial Unicode MS" w:eastAsia="方正仿宋_GBK"/>
      <w:kern w:val="0"/>
      <w:sz w:val="20"/>
    </w:rPr>
  </w:style>
  <w:style w:type="paragraph" w:customStyle="1" w:styleId="72">
    <w:name w:val="xl9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73">
    <w:name w:val="xl9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Arial Unicode MS" w:eastAsia="方正仿宋_GBK"/>
      <w:kern w:val="0"/>
      <w:sz w:val="20"/>
    </w:rPr>
  </w:style>
  <w:style w:type="paragraph" w:customStyle="1" w:styleId="74">
    <w:name w:val="xl10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Arial Unicode MS" w:eastAsia="方正仿宋_GBK"/>
      <w:kern w:val="0"/>
      <w:sz w:val="20"/>
    </w:rPr>
  </w:style>
  <w:style w:type="paragraph" w:customStyle="1" w:styleId="75">
    <w:name w:val="xl10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Arial Unicode MS" w:eastAsia="方正仿宋_GBK"/>
      <w:kern w:val="0"/>
      <w:sz w:val="20"/>
    </w:rPr>
  </w:style>
  <w:style w:type="paragraph" w:customStyle="1" w:styleId="76">
    <w:name w:val="xl10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rPr>
  </w:style>
  <w:style w:type="paragraph" w:customStyle="1" w:styleId="77">
    <w:name w:val="xl10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Arial Unicode MS" w:eastAsia="方正仿宋_GBK"/>
      <w:kern w:val="0"/>
      <w:sz w:val="20"/>
    </w:rPr>
  </w:style>
  <w:style w:type="paragraph" w:customStyle="1" w:styleId="78">
    <w:name w:val="xl10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Arial Unicode MS" w:eastAsia="方正仿宋_GBK"/>
      <w:kern w:val="0"/>
      <w:sz w:val="20"/>
    </w:rPr>
  </w:style>
  <w:style w:type="paragraph" w:customStyle="1" w:styleId="79">
    <w:name w:val="xl10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rPr>
  </w:style>
  <w:style w:type="paragraph" w:customStyle="1" w:styleId="80">
    <w:name w:val="xl10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81">
    <w:name w:val="xl10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82">
    <w:name w:val="xl10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Arial Unicode MS" w:eastAsia="方正仿宋_GBK"/>
      <w:kern w:val="0"/>
      <w:sz w:val="20"/>
    </w:rPr>
  </w:style>
  <w:style w:type="paragraph" w:customStyle="1" w:styleId="83">
    <w:name w:val="xl10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84">
    <w:name w:val="xl11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Arial Unicode MS" w:eastAsia="方正仿宋_GBK"/>
      <w:kern w:val="0"/>
      <w:sz w:val="20"/>
    </w:rPr>
  </w:style>
  <w:style w:type="paragraph" w:customStyle="1" w:styleId="85">
    <w:name w:val="xl11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方正仿宋_GBK" w:hAnsi="Arial Unicode MS" w:eastAsia="方正仿宋_GBK"/>
      <w:kern w:val="0"/>
      <w:sz w:val="20"/>
    </w:rPr>
  </w:style>
  <w:style w:type="paragraph" w:customStyle="1" w:styleId="86">
    <w:name w:val="xl11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87">
    <w:name w:val="xl11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eastAsia="宋体"/>
      <w:kern w:val="0"/>
      <w:sz w:val="20"/>
    </w:rPr>
  </w:style>
  <w:style w:type="paragraph" w:customStyle="1" w:styleId="88">
    <w:name w:val="xl114"/>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Arial Unicode MS" w:eastAsia="方正仿宋_GBK"/>
      <w:kern w:val="0"/>
      <w:sz w:val="20"/>
    </w:rPr>
  </w:style>
  <w:style w:type="paragraph" w:customStyle="1" w:styleId="89">
    <w:name w:val="xl115"/>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90">
    <w:name w:val="xl116"/>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91">
    <w:name w:val="xl11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Arial Unicode MS" w:eastAsia="方正仿宋_GBK"/>
      <w:kern w:val="0"/>
      <w:sz w:val="20"/>
    </w:rPr>
  </w:style>
  <w:style w:type="paragraph" w:customStyle="1" w:styleId="92">
    <w:name w:val="xl11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93">
    <w:name w:val="xl11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eastAsia="宋体"/>
      <w:kern w:val="0"/>
      <w:sz w:val="20"/>
    </w:rPr>
  </w:style>
  <w:style w:type="paragraph" w:customStyle="1" w:styleId="94">
    <w:name w:val="xl12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方正仿宋_GBK" w:hAnsi="Arial Unicode MS" w:eastAsia="方正仿宋_GBK"/>
      <w:b/>
      <w:bCs/>
      <w:kern w:val="0"/>
      <w:sz w:val="20"/>
    </w:rPr>
  </w:style>
  <w:style w:type="paragraph" w:customStyle="1" w:styleId="95">
    <w:name w:val="xl121"/>
    <w:basedOn w:val="1"/>
    <w:qFormat/>
    <w:uiPriority w:val="99"/>
    <w:pPr>
      <w:widowControl/>
      <w:spacing w:before="100" w:beforeAutospacing="1" w:after="100" w:afterAutospacing="1"/>
      <w:jc w:val="right"/>
      <w:textAlignment w:val="center"/>
    </w:pPr>
    <w:rPr>
      <w:rFonts w:ascii="方正仿宋_GBK" w:hAnsi="Arial Unicode MS" w:eastAsia="方正仿宋_GBK"/>
      <w:kern w:val="0"/>
      <w:sz w:val="20"/>
    </w:rPr>
  </w:style>
  <w:style w:type="character" w:customStyle="1" w:styleId="96">
    <w:name w:val="正文文本缩进 Char"/>
    <w:link w:val="6"/>
    <w:semiHidden/>
    <w:qFormat/>
    <w:uiPriority w:val="99"/>
    <w:rPr>
      <w:rFonts w:eastAsia="方正仿宋简体"/>
      <w:sz w:val="30"/>
      <w:szCs w:val="20"/>
    </w:rPr>
  </w:style>
  <w:style w:type="character" w:customStyle="1" w:styleId="97">
    <w:name w:val="正文文本 2 Char"/>
    <w:link w:val="15"/>
    <w:semiHidden/>
    <w:qFormat/>
    <w:uiPriority w:val="99"/>
    <w:rPr>
      <w:rFonts w:eastAsia="方正仿宋简体"/>
      <w:sz w:val="30"/>
      <w:szCs w:val="20"/>
    </w:rPr>
  </w:style>
  <w:style w:type="character" w:customStyle="1" w:styleId="98">
    <w:name w:val="正文文本 3 Char"/>
    <w:link w:val="4"/>
    <w:semiHidden/>
    <w:qFormat/>
    <w:uiPriority w:val="99"/>
    <w:rPr>
      <w:rFonts w:eastAsia="方正仿宋简体"/>
      <w:sz w:val="16"/>
      <w:szCs w:val="16"/>
    </w:rPr>
  </w:style>
  <w:style w:type="paragraph" w:customStyle="1" w:styleId="99">
    <w:name w:val="正文列举"/>
    <w:basedOn w:val="1"/>
    <w:qFormat/>
    <w:uiPriority w:val="99"/>
    <w:pPr>
      <w:spacing w:afterLines="50" w:line="360" w:lineRule="exact"/>
      <w:ind w:left="840"/>
    </w:pPr>
    <w:rPr>
      <w:rFonts w:ascii="Calibri" w:hAnsi="Calibri" w:eastAsia="微软雅黑"/>
      <w:sz w:val="21"/>
      <w:szCs w:val="22"/>
    </w:rPr>
  </w:style>
  <w:style w:type="paragraph" w:customStyle="1" w:styleId="100">
    <w:name w:val="[基本段落]"/>
    <w:basedOn w:val="1"/>
    <w:qFormat/>
    <w:uiPriority w:val="99"/>
    <w:pPr>
      <w:autoSpaceDE w:val="0"/>
      <w:autoSpaceDN w:val="0"/>
      <w:adjustRightInd w:val="0"/>
      <w:spacing w:line="288" w:lineRule="auto"/>
      <w:textAlignment w:val="center"/>
    </w:pPr>
    <w:rPr>
      <w:rFonts w:ascii="宋体" w:eastAsia="宋体"/>
      <w:color w:val="000000"/>
      <w:kern w:val="0"/>
      <w:sz w:val="24"/>
      <w:szCs w:val="24"/>
      <w:lang w:val="zh-CN"/>
    </w:rPr>
  </w:style>
  <w:style w:type="paragraph" w:customStyle="1" w:styleId="101">
    <w:name w:val="xl25"/>
    <w:basedOn w:val="1"/>
    <w:qFormat/>
    <w:uiPriority w:val="99"/>
    <w:pPr>
      <w:widowControl/>
      <w:spacing w:before="100" w:beforeAutospacing="1" w:after="100" w:afterAutospacing="1"/>
      <w:jc w:val="center"/>
      <w:textAlignment w:val="center"/>
    </w:pPr>
    <w:rPr>
      <w:rFonts w:ascii="Arial Unicode MS" w:hAnsi="Arial Unicode MS" w:eastAsia="宋体"/>
      <w:kern w:val="0"/>
      <w:sz w:val="20"/>
    </w:rPr>
  </w:style>
  <w:style w:type="paragraph" w:customStyle="1" w:styleId="102">
    <w:name w:val="xl26"/>
    <w:basedOn w:val="1"/>
    <w:qFormat/>
    <w:uiPriority w:val="99"/>
    <w:pPr>
      <w:widowControl/>
      <w:spacing w:before="100" w:beforeAutospacing="1" w:after="100" w:afterAutospacing="1"/>
      <w:jc w:val="left"/>
      <w:textAlignment w:val="center"/>
    </w:pPr>
    <w:rPr>
      <w:rFonts w:ascii="Arial Unicode MS" w:hAnsi="Arial Unicode MS" w:eastAsia="宋体"/>
      <w:kern w:val="0"/>
      <w:sz w:val="20"/>
    </w:rPr>
  </w:style>
  <w:style w:type="paragraph" w:customStyle="1" w:styleId="103">
    <w:name w:val="xl2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kern w:val="0"/>
      <w:sz w:val="20"/>
    </w:rPr>
  </w:style>
  <w:style w:type="paragraph" w:customStyle="1" w:styleId="104">
    <w:name w:val="xl28"/>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kern w:val="0"/>
      <w:sz w:val="20"/>
    </w:rPr>
  </w:style>
  <w:style w:type="paragraph" w:customStyle="1" w:styleId="105">
    <w:name w:val="xl29"/>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宋体"/>
      <w:b/>
      <w:bCs/>
      <w:kern w:val="0"/>
      <w:sz w:val="24"/>
      <w:szCs w:val="24"/>
    </w:rPr>
  </w:style>
  <w:style w:type="paragraph" w:customStyle="1" w:styleId="106">
    <w:name w:val="xl3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eastAsia="宋体"/>
      <w:b/>
      <w:bCs/>
      <w:kern w:val="0"/>
      <w:sz w:val="24"/>
      <w:szCs w:val="24"/>
    </w:rPr>
  </w:style>
  <w:style w:type="paragraph" w:customStyle="1" w:styleId="107">
    <w:name w:val="xl31"/>
    <w:basedOn w:val="1"/>
    <w:qFormat/>
    <w:uiPriority w:val="99"/>
    <w:pPr>
      <w:widowControl/>
      <w:spacing w:before="100" w:beforeAutospacing="1" w:after="100" w:afterAutospacing="1"/>
      <w:jc w:val="left"/>
      <w:textAlignment w:val="center"/>
    </w:pPr>
    <w:rPr>
      <w:rFonts w:ascii="Arial Unicode MS" w:hAnsi="Arial Unicode MS" w:eastAsia="宋体"/>
      <w:kern w:val="0"/>
      <w:sz w:val="20"/>
    </w:rPr>
  </w:style>
  <w:style w:type="character" w:customStyle="1" w:styleId="108">
    <w:name w:val="正文文本缩进 3 Char"/>
    <w:link w:val="14"/>
    <w:semiHidden/>
    <w:qFormat/>
    <w:uiPriority w:val="99"/>
    <w:rPr>
      <w:rFonts w:eastAsia="方正仿宋简体"/>
      <w:sz w:val="16"/>
      <w:szCs w:val="16"/>
    </w:rPr>
  </w:style>
  <w:style w:type="paragraph" w:customStyle="1" w:styleId="109">
    <w:name w:val="xl3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b/>
      <w:bCs/>
      <w:kern w:val="0"/>
      <w:sz w:val="20"/>
    </w:rPr>
  </w:style>
  <w:style w:type="paragraph" w:customStyle="1" w:styleId="110">
    <w:name w:val="xl33"/>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b/>
      <w:bCs/>
      <w:kern w:val="0"/>
      <w:sz w:val="20"/>
    </w:rPr>
  </w:style>
  <w:style w:type="paragraph" w:customStyle="1" w:styleId="111">
    <w:name w:val="xl3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kern w:val="0"/>
      <w:sz w:val="20"/>
    </w:rPr>
  </w:style>
  <w:style w:type="paragraph" w:customStyle="1" w:styleId="112">
    <w:name w:val="xl35"/>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kern w:val="0"/>
      <w:sz w:val="20"/>
    </w:rPr>
  </w:style>
  <w:style w:type="paragraph" w:customStyle="1" w:styleId="113">
    <w:name w:val="xl36"/>
    <w:basedOn w:val="1"/>
    <w:qFormat/>
    <w:uiPriority w:val="99"/>
    <w:pPr>
      <w:widowControl/>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eastAsia="宋体"/>
      <w:kern w:val="0"/>
      <w:sz w:val="20"/>
    </w:rPr>
  </w:style>
  <w:style w:type="paragraph" w:customStyle="1" w:styleId="114">
    <w:name w:val="xl37"/>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Arial Unicode MS" w:hAnsi="Arial Unicode MS" w:eastAsia="宋体"/>
      <w:b/>
      <w:bCs/>
      <w:kern w:val="0"/>
      <w:sz w:val="20"/>
    </w:rPr>
  </w:style>
  <w:style w:type="paragraph" w:customStyle="1" w:styleId="115">
    <w:name w:val="xl38"/>
    <w:basedOn w:val="1"/>
    <w:qFormat/>
    <w:uiPriority w:val="99"/>
    <w:pPr>
      <w:widowControl/>
      <w:pBdr>
        <w:top w:val="single" w:color="000000" w:sz="4" w:space="0"/>
        <w:left w:val="single" w:color="000000" w:sz="4" w:space="0"/>
        <w:bottom w:val="single" w:color="000000" w:sz="4" w:space="0"/>
      </w:pBdr>
      <w:spacing w:before="100" w:beforeAutospacing="1" w:after="100" w:afterAutospacing="1"/>
      <w:jc w:val="center"/>
    </w:pPr>
    <w:rPr>
      <w:rFonts w:ascii="Arial Unicode MS" w:hAnsi="Arial Unicode MS" w:eastAsia="宋体"/>
      <w:b/>
      <w:bCs/>
      <w:kern w:val="0"/>
      <w:sz w:val="20"/>
    </w:rPr>
  </w:style>
  <w:style w:type="paragraph" w:customStyle="1" w:styleId="116">
    <w:name w:val="xl39"/>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b/>
      <w:bCs/>
      <w:kern w:val="0"/>
      <w:sz w:val="20"/>
    </w:rPr>
  </w:style>
  <w:style w:type="paragraph" w:customStyle="1" w:styleId="117">
    <w:name w:val="xl40"/>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b/>
      <w:bCs/>
      <w:kern w:val="0"/>
      <w:sz w:val="20"/>
    </w:rPr>
  </w:style>
  <w:style w:type="paragraph" w:customStyle="1" w:styleId="118">
    <w:name w:val="xl41"/>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b/>
      <w:bCs/>
      <w:kern w:val="0"/>
      <w:sz w:val="20"/>
    </w:rPr>
  </w:style>
  <w:style w:type="paragraph" w:customStyle="1" w:styleId="119">
    <w:name w:val="xl42"/>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kern w:val="0"/>
      <w:sz w:val="20"/>
    </w:rPr>
  </w:style>
  <w:style w:type="paragraph" w:customStyle="1" w:styleId="120">
    <w:name w:val="xl43"/>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宋体"/>
      <w:b/>
      <w:bCs/>
      <w:kern w:val="0"/>
      <w:sz w:val="20"/>
    </w:rPr>
  </w:style>
  <w:style w:type="paragraph" w:customStyle="1" w:styleId="121">
    <w:name w:val="xl44"/>
    <w:basedOn w:val="1"/>
    <w:qFormat/>
    <w:uiPriority w:val="99"/>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宋体"/>
      <w:kern w:val="0"/>
      <w:sz w:val="20"/>
    </w:rPr>
  </w:style>
  <w:style w:type="paragraph" w:customStyle="1" w:styleId="122">
    <w:name w:val="font11"/>
    <w:basedOn w:val="1"/>
    <w:qFormat/>
    <w:uiPriority w:val="99"/>
    <w:pPr>
      <w:widowControl/>
      <w:spacing w:before="100" w:beforeAutospacing="1" w:after="100" w:afterAutospacing="1"/>
      <w:jc w:val="left"/>
    </w:pPr>
    <w:rPr>
      <w:rFonts w:eastAsia="宋体"/>
      <w:b/>
      <w:bCs/>
      <w:kern w:val="0"/>
      <w:sz w:val="24"/>
      <w:szCs w:val="24"/>
    </w:rPr>
  </w:style>
  <w:style w:type="paragraph" w:customStyle="1" w:styleId="123">
    <w:name w:val="font12"/>
    <w:basedOn w:val="1"/>
    <w:qFormat/>
    <w:uiPriority w:val="99"/>
    <w:pPr>
      <w:widowControl/>
      <w:spacing w:before="100" w:beforeAutospacing="1" w:after="100" w:afterAutospacing="1"/>
      <w:jc w:val="left"/>
    </w:pPr>
    <w:rPr>
      <w:rFonts w:ascii="宋体" w:hAnsi="宋体" w:eastAsia="宋体"/>
      <w:b/>
      <w:bCs/>
      <w:kern w:val="0"/>
      <w:sz w:val="24"/>
      <w:szCs w:val="24"/>
    </w:rPr>
  </w:style>
  <w:style w:type="paragraph" w:customStyle="1" w:styleId="124">
    <w:name w:val="font13"/>
    <w:basedOn w:val="1"/>
    <w:qFormat/>
    <w:uiPriority w:val="99"/>
    <w:pPr>
      <w:widowControl/>
      <w:spacing w:before="100" w:beforeAutospacing="1" w:after="100" w:afterAutospacing="1"/>
      <w:jc w:val="left"/>
    </w:pPr>
    <w:rPr>
      <w:rFonts w:ascii="方正书宋_GBK" w:hAnsi="Arial Unicode MS" w:eastAsia="方正书宋_GBK"/>
      <w:b/>
      <w:bCs/>
      <w:kern w:val="0"/>
      <w:sz w:val="22"/>
      <w:szCs w:val="22"/>
    </w:rPr>
  </w:style>
  <w:style w:type="paragraph" w:customStyle="1" w:styleId="125">
    <w:name w:val="xl67"/>
    <w:basedOn w:val="1"/>
    <w:qFormat/>
    <w:uiPriority w:val="99"/>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eastAsia="宋体"/>
      <w:kern w:val="0"/>
      <w:sz w:val="22"/>
      <w:szCs w:val="22"/>
    </w:rPr>
  </w:style>
  <w:style w:type="character" w:customStyle="1" w:styleId="126">
    <w:name w:val="标题 Char"/>
    <w:link w:val="17"/>
    <w:qFormat/>
    <w:uiPriority w:val="10"/>
    <w:rPr>
      <w:rFonts w:ascii="Cambria" w:hAnsi="Cambria" w:cs="Times New Roman"/>
      <w:b/>
      <w:bCs/>
      <w:sz w:val="32"/>
      <w:szCs w:val="32"/>
    </w:rPr>
  </w:style>
  <w:style w:type="paragraph" w:customStyle="1" w:styleId="127">
    <w:name w:val="xl65"/>
    <w:basedOn w:val="1"/>
    <w:qFormat/>
    <w:uiPriority w:val="99"/>
    <w:pPr>
      <w:widowControl/>
      <w:pBdr>
        <w:top w:val="single" w:color="auto" w:sz="4" w:space="0"/>
        <w:left w:val="single" w:color="auto" w:sz="8" w:space="0"/>
        <w:bottom w:val="single" w:color="auto" w:sz="4" w:space="0"/>
        <w:right w:val="single" w:color="auto" w:sz="4" w:space="0"/>
      </w:pBdr>
      <w:spacing w:before="100" w:beforeAutospacing="1" w:after="100" w:afterAutospacing="1"/>
      <w:jc w:val="center"/>
    </w:pPr>
    <w:rPr>
      <w:rFonts w:ascii="仿宋_GB2312" w:hAnsi="Arial Unicode MS" w:eastAsia="仿宋_GB2312"/>
      <w:color w:val="000000"/>
      <w:kern w:val="0"/>
      <w:sz w:val="22"/>
      <w:szCs w:val="22"/>
    </w:rPr>
  </w:style>
  <w:style w:type="paragraph" w:customStyle="1" w:styleId="128">
    <w:name w:val="xl66"/>
    <w:basedOn w:val="1"/>
    <w:qFormat/>
    <w:uiPriority w:val="99"/>
    <w:pPr>
      <w:widowControl/>
      <w:spacing w:before="100" w:beforeAutospacing="1" w:after="100" w:afterAutospacing="1"/>
      <w:jc w:val="center"/>
    </w:pPr>
    <w:rPr>
      <w:rFonts w:ascii="仿宋_GB2312" w:hAnsi="Arial Unicode MS" w:eastAsia="仿宋_GB2312"/>
      <w:color w:val="000000"/>
      <w:kern w:val="0"/>
      <w:sz w:val="22"/>
      <w:szCs w:val="22"/>
    </w:rPr>
  </w:style>
  <w:style w:type="paragraph" w:customStyle="1" w:styleId="129">
    <w:name w:val="xl60"/>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eastAsia="宋体"/>
      <w:kern w:val="0"/>
      <w:sz w:val="20"/>
    </w:rPr>
  </w:style>
  <w:style w:type="paragraph" w:customStyle="1" w:styleId="130">
    <w:name w:val="xl61"/>
    <w:basedOn w:val="1"/>
    <w:qFormat/>
    <w:uiPriority w:val="99"/>
    <w:pPr>
      <w:widowControl/>
      <w:spacing w:before="100" w:beforeAutospacing="1" w:after="100" w:afterAutospacing="1"/>
      <w:jc w:val="center"/>
      <w:textAlignment w:val="center"/>
    </w:pPr>
    <w:rPr>
      <w:rFonts w:eastAsia="宋体"/>
      <w:kern w:val="0"/>
      <w:sz w:val="20"/>
    </w:rPr>
  </w:style>
  <w:style w:type="paragraph" w:customStyle="1" w:styleId="131">
    <w:name w:val="xl62"/>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eastAsia="宋体"/>
      <w:kern w:val="0"/>
      <w:sz w:val="22"/>
      <w:szCs w:val="22"/>
    </w:rPr>
  </w:style>
  <w:style w:type="paragraph" w:customStyle="1" w:styleId="132">
    <w:name w:val="xl63"/>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eastAsia="宋体"/>
      <w:kern w:val="0"/>
      <w:sz w:val="22"/>
      <w:szCs w:val="22"/>
    </w:rPr>
  </w:style>
  <w:style w:type="paragraph" w:customStyle="1" w:styleId="133">
    <w:name w:val="xl64"/>
    <w:basedOn w:val="1"/>
    <w:qFormat/>
    <w:uiPriority w:val="99"/>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textAlignment w:val="center"/>
    </w:pPr>
    <w:rPr>
      <w:rFonts w:eastAsia="宋体"/>
      <w:b/>
      <w:bCs/>
      <w:kern w:val="0"/>
      <w:sz w:val="22"/>
      <w:szCs w:val="22"/>
    </w:rPr>
  </w:style>
  <w:style w:type="paragraph" w:customStyle="1" w:styleId="134">
    <w:name w:val="标题1"/>
    <w:basedOn w:val="1"/>
    <w:next w:val="1"/>
    <w:qFormat/>
    <w:uiPriority w:val="99"/>
    <w:pPr>
      <w:tabs>
        <w:tab w:val="left" w:pos="9193"/>
        <w:tab w:val="left" w:pos="9827"/>
      </w:tabs>
      <w:autoSpaceDE w:val="0"/>
      <w:autoSpaceDN w:val="0"/>
      <w:snapToGrid w:val="0"/>
      <w:spacing w:line="640" w:lineRule="atLeast"/>
      <w:jc w:val="center"/>
    </w:pPr>
    <w:rPr>
      <w:rFonts w:ascii="方正小标宋_GBK" w:eastAsia="方正小标宋_GBK"/>
      <w:kern w:val="0"/>
      <w:sz w:val="44"/>
    </w:rPr>
  </w:style>
  <w:style w:type="paragraph" w:customStyle="1" w:styleId="135">
    <w:name w:val="Char Char Char Char1 Char Char"/>
    <w:basedOn w:val="1"/>
    <w:qFormat/>
    <w:uiPriority w:val="99"/>
    <w:rPr>
      <w:rFonts w:eastAsia="宋体"/>
      <w:sz w:val="21"/>
    </w:rPr>
  </w:style>
  <w:style w:type="character" w:customStyle="1" w:styleId="136">
    <w:name w:val="Char Char"/>
    <w:qFormat/>
    <w:uiPriority w:val="99"/>
    <w:rPr>
      <w:rFonts w:eastAsia="仿宋_GB2312"/>
      <w:kern w:val="2"/>
      <w:sz w:val="24"/>
      <w:lang w:val="en-US" w:eastAsia="zh-CN"/>
    </w:rPr>
  </w:style>
  <w:style w:type="paragraph" w:customStyle="1" w:styleId="137">
    <w:name w:val="正文-第几条"/>
    <w:basedOn w:val="1"/>
    <w:qFormat/>
    <w:uiPriority w:val="99"/>
    <w:pPr>
      <w:tabs>
        <w:tab w:val="left" w:pos="654"/>
      </w:tabs>
      <w:spacing w:beforeLines="30" w:afterLines="20" w:line="264" w:lineRule="auto"/>
      <w:ind w:left="654" w:hanging="420"/>
    </w:pPr>
    <w:rPr>
      <w:rFonts w:ascii="宋体" w:hAnsi="宋体" w:eastAsia="宋体"/>
      <w:sz w:val="24"/>
    </w:rPr>
  </w:style>
  <w:style w:type="paragraph" w:customStyle="1" w:styleId="138">
    <w:name w:val="Char1"/>
    <w:basedOn w:val="1"/>
    <w:qFormat/>
    <w:uiPriority w:val="99"/>
    <w:rPr>
      <w:rFonts w:ascii="宋体" w:hAnsi="宋体" w:eastAsia="宋体" w:cs="Courier New"/>
      <w:sz w:val="32"/>
      <w:szCs w:val="32"/>
    </w:rPr>
  </w:style>
  <w:style w:type="paragraph" w:styleId="139">
    <w:name w:val="List Paragraph"/>
    <w:basedOn w:val="1"/>
    <w:qFormat/>
    <w:uiPriority w:val="99"/>
    <w:pPr>
      <w:ind w:firstLine="420" w:firstLineChars="200"/>
    </w:pPr>
    <w:rPr>
      <w:rFonts w:ascii="Calibri" w:hAnsi="Calibri" w:eastAsia="宋体"/>
      <w:sz w:val="21"/>
      <w:szCs w:val="22"/>
    </w:rPr>
  </w:style>
  <w:style w:type="paragraph" w:customStyle="1" w:styleId="140">
    <w:name w:val="普通(网站) New"/>
    <w:basedOn w:val="1"/>
    <w:qFormat/>
    <w:uiPriority w:val="99"/>
    <w:pPr>
      <w:widowControl/>
      <w:spacing w:before="100" w:beforeAutospacing="1" w:after="100" w:afterAutospacing="1"/>
      <w:jc w:val="left"/>
    </w:pPr>
    <w:rPr>
      <w:rFonts w:ascii="宋体" w:hAnsi="宋体" w:eastAsia="宋体"/>
      <w:kern w:val="0"/>
      <w:sz w:val="24"/>
      <w:szCs w:val="24"/>
    </w:rPr>
  </w:style>
  <w:style w:type="character" w:customStyle="1" w:styleId="141">
    <w:name w:val="11p1"/>
    <w:qFormat/>
    <w:uiPriority w:val="99"/>
    <w:rPr>
      <w:sz w:val="23"/>
    </w:rPr>
  </w:style>
  <w:style w:type="paragraph" w:customStyle="1" w:styleId="142">
    <w:name w:val="公文"/>
    <w:basedOn w:val="1"/>
    <w:qFormat/>
    <w:uiPriority w:val="99"/>
    <w:pPr>
      <w:spacing w:line="520" w:lineRule="exact"/>
    </w:pPr>
    <w:rPr>
      <w:rFonts w:eastAsia="仿宋_GB2312"/>
      <w:sz w:val="32"/>
    </w:rPr>
  </w:style>
  <w:style w:type="paragraph" w:customStyle="1" w:styleId="143">
    <w:name w:val="列出段落1"/>
    <w:basedOn w:val="1"/>
    <w:qFormat/>
    <w:uiPriority w:val="99"/>
    <w:pPr>
      <w:ind w:firstLine="420" w:firstLineChars="200"/>
    </w:pPr>
    <w:rPr>
      <w:rFonts w:ascii="Calibri" w:hAnsi="Calibri" w:eastAsia="宋体"/>
      <w:sz w:val="21"/>
      <w:szCs w:val="22"/>
    </w:rPr>
  </w:style>
  <w:style w:type="paragraph" w:customStyle="1" w:styleId="144">
    <w:name w:val="(文字) (文字)"/>
    <w:basedOn w:val="1"/>
    <w:qFormat/>
    <w:uiPriority w:val="99"/>
    <w:pPr>
      <w:spacing w:line="520" w:lineRule="exact"/>
      <w:ind w:firstLine="200" w:firstLineChars="200"/>
    </w:pPr>
    <w:rPr>
      <w:rFonts w:eastAsia="仿宋_GB2312"/>
      <w:sz w:val="24"/>
      <w:szCs w:val="24"/>
    </w:rPr>
  </w:style>
  <w:style w:type="paragraph" w:customStyle="1" w:styleId="145">
    <w:name w:val="(文字) (文字)1"/>
    <w:basedOn w:val="1"/>
    <w:qFormat/>
    <w:uiPriority w:val="99"/>
    <w:pPr>
      <w:spacing w:line="520" w:lineRule="exact"/>
      <w:ind w:firstLine="200" w:firstLineChars="200"/>
    </w:pPr>
    <w:rPr>
      <w:rFonts w:eastAsia="仿宋_GB2312"/>
      <w:sz w:val="24"/>
      <w:szCs w:val="24"/>
    </w:rPr>
  </w:style>
  <w:style w:type="paragraph" w:customStyle="1" w:styleId="146">
    <w:name w:val="Body Text Indent1"/>
    <w:basedOn w:val="1"/>
    <w:qFormat/>
    <w:uiPriority w:val="99"/>
    <w:pPr>
      <w:spacing w:after="120"/>
      <w:ind w:left="420" w:leftChars="200"/>
    </w:pPr>
    <w:rPr>
      <w:rFonts w:eastAsia="宋体"/>
      <w:sz w:val="24"/>
      <w:szCs w:val="24"/>
    </w:rPr>
  </w:style>
  <w:style w:type="paragraph" w:customStyle="1" w:styleId="147">
    <w:name w:val="Char Char Char Char Char Char Char"/>
    <w:basedOn w:val="1"/>
    <w:qFormat/>
    <w:uiPriority w:val="99"/>
    <w:rPr>
      <w:rFonts w:eastAsia="宋体"/>
      <w:sz w:val="21"/>
      <w:szCs w:val="24"/>
    </w:rPr>
  </w:style>
  <w:style w:type="paragraph" w:customStyle="1" w:styleId="148">
    <w:name w:val="列出段落11"/>
    <w:basedOn w:val="1"/>
    <w:qFormat/>
    <w:uiPriority w:val="99"/>
    <w:pPr>
      <w:ind w:firstLine="420" w:firstLineChars="200"/>
    </w:pPr>
    <w:rPr>
      <w:rFonts w:ascii="Calibri" w:hAnsi="Calibri" w:eastAsia="宋体"/>
      <w:sz w:val="21"/>
      <w:szCs w:val="22"/>
    </w:rPr>
  </w:style>
  <w:style w:type="paragraph" w:customStyle="1" w:styleId="149">
    <w:name w:val="msonormalcxspmiddle"/>
    <w:basedOn w:val="1"/>
    <w:qFormat/>
    <w:uiPriority w:val="99"/>
    <w:pPr>
      <w:widowControl/>
      <w:spacing w:before="100" w:beforeAutospacing="1" w:after="100" w:afterAutospacing="1"/>
      <w:jc w:val="left"/>
    </w:pPr>
    <w:rPr>
      <w:rFonts w:ascii="宋体" w:hAnsi="宋体" w:eastAsia="宋体"/>
      <w:kern w:val="0"/>
      <w:sz w:val="24"/>
      <w:szCs w:val="24"/>
    </w:rPr>
  </w:style>
  <w:style w:type="paragraph" w:customStyle="1" w:styleId="150">
    <w:name w:val="p0"/>
    <w:basedOn w:val="1"/>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21306;&#25919;&#24220;&#21150;&#20844;&#23460;&#25991;&#20214;&#65288;&#19979;&#34892;&#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区政府办公室文件（下行）</Template>
  <Company>Microsoft</Company>
  <Pages>15</Pages>
  <Words>1075</Words>
  <Characters>6132</Characters>
  <Lines>51</Lines>
  <Paragraphs>14</Paragraphs>
  <TotalTime>0</TotalTime>
  <ScaleCrop>false</ScaleCrop>
  <LinksUpToDate>false</LinksUpToDate>
  <CharactersWithSpaces>7193</CharactersWithSpaces>
  <Application>WPS Office_11.1.0.9341_F1E327BC-269C-435d-A152-05C5408002CA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2017-11-28T07:44:00Z</dcterms:created>
  <dc:creator>仓楠楠(cangnn)</dc:creator>
  <cp:lastModifiedBy>陈亦新</cp:lastModifiedBy>
  <cp:lastPrinted>2020-03-02T06:27:00Z</cp:lastPrinted>
  <dcterms:modified xsi:type="dcterms:W3CDTF">2020-03-02T07:00:06Z</dcterms:modified>
  <dc:title>2009年南京市城市规划、建设和管理任务计划</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2052-11.1.0.9341</vt:lpwstr>
  </property>
</Properties>
</file>